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AE3A6" w14:textId="0C5D7810" w:rsidR="001043F2" w:rsidRDefault="001043F2" w:rsidP="001043F2">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_Hlk144453057"/>
      <w:bookmarkStart w:id="3" w:name="OLE_LINK5"/>
      <w:bookmarkStart w:id="4" w:name="OLE_LINK6"/>
      <w:bookmarkEnd w:id="0"/>
      <w:bookmarkEnd w:id="1"/>
      <w:r>
        <w:rPr>
          <w:rFonts w:ascii="Arial" w:hAnsi="Arial" w:cs="Arial"/>
          <w:b/>
          <w:sz w:val="24"/>
          <w:szCs w:val="24"/>
        </w:rPr>
        <w:t>3GPP TSG-RAN WG4 Meeting #108bis</w:t>
      </w:r>
      <w:bookmarkEnd w:id="2"/>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E66FD" w:rsidRPr="008E66FD">
        <w:rPr>
          <w:rFonts w:ascii="Arial" w:hAnsi="Arial" w:cs="Arial"/>
          <w:b/>
          <w:sz w:val="24"/>
          <w:szCs w:val="24"/>
        </w:rPr>
        <w:t>R4-2315926</w:t>
      </w:r>
    </w:p>
    <w:p w14:paraId="06FC4FDE" w14:textId="77777777" w:rsidR="001043F2" w:rsidRDefault="001043F2" w:rsidP="001043F2">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 China, October 9-13, 2023</w:t>
      </w:r>
    </w:p>
    <w:bookmarkEnd w:id="3"/>
    <w:bookmarkEnd w:id="4"/>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2BD112FA"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Pr>
          <w:rFonts w:ascii="Arial" w:eastAsia="Calibri" w:hAnsi="Arial" w:cs="Arial"/>
          <w:b/>
          <w:bCs/>
          <w:sz w:val="24"/>
        </w:rPr>
        <w:t>On Multi</w:t>
      </w:r>
      <w:r w:rsidR="00B2365A">
        <w:rPr>
          <w:rFonts w:ascii="Arial" w:eastAsia="Calibri" w:hAnsi="Arial" w:cs="Arial"/>
          <w:b/>
          <w:bCs/>
          <w:sz w:val="24"/>
        </w:rPr>
        <w:t xml:space="preserve"> </w:t>
      </w:r>
      <w:r>
        <w:rPr>
          <w:rFonts w:ascii="Arial" w:eastAsia="Calibri" w:hAnsi="Arial" w:cs="Arial"/>
          <w:b/>
          <w:bCs/>
          <w:sz w:val="24"/>
        </w:rPr>
        <w:t xml:space="preserve">Rx </w:t>
      </w:r>
      <w:r w:rsidR="000072DB">
        <w:rPr>
          <w:rFonts w:ascii="Arial" w:eastAsia="Calibri" w:hAnsi="Arial" w:cs="Arial"/>
          <w:b/>
          <w:bCs/>
          <w:sz w:val="24"/>
        </w:rPr>
        <w:t>TCI state switching requirements</w:t>
      </w:r>
    </w:p>
    <w:p w14:paraId="4FDBD526" w14:textId="12A4B6C8"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1E4239" w:rsidRPr="001E4239">
        <w:rPr>
          <w:rFonts w:ascii="Arial" w:eastAsia="MS Mincho" w:hAnsi="Arial" w:cs="Arial"/>
          <w:b/>
          <w:bCs/>
          <w:sz w:val="24"/>
          <w:szCs w:val="20"/>
        </w:rPr>
        <w:t>5.7.2.5</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7777777" w:rsidR="00A22B33" w:rsidRPr="00EF698B" w:rsidRDefault="00A22B33" w:rsidP="00A22B33">
      <w:pPr>
        <w:pStyle w:val="RAN4H1"/>
        <w:rPr>
          <w:lang w:val="en-US"/>
        </w:rPr>
      </w:pPr>
      <w:bookmarkStart w:id="5" w:name="_Toc116995841"/>
      <w:r w:rsidRPr="00EF698B">
        <w:rPr>
          <w:lang w:val="en-US"/>
        </w:rPr>
        <w:t>Intro</w:t>
      </w:r>
      <w:r w:rsidRPr="00EF698B">
        <w:rPr>
          <w:rStyle w:val="RAN4H1Char"/>
          <w:lang w:val="en-US"/>
        </w:rPr>
        <w:t>ductio</w:t>
      </w:r>
      <w:r w:rsidRPr="00EF698B">
        <w:rPr>
          <w:lang w:val="en-US"/>
        </w:rPr>
        <w:t>n</w:t>
      </w:r>
      <w:bookmarkEnd w:id="5"/>
    </w:p>
    <w:p w14:paraId="1E7A8FDA" w14:textId="0D7D0422" w:rsidR="00F32A3B" w:rsidRPr="00953E62" w:rsidRDefault="001043F2" w:rsidP="002C7721">
      <w:r w:rsidRPr="00953E62">
        <w:t xml:space="preserve">RAN4 agreed two CRs to cover TCI state switching delay requirements for dual TCI state switching in the RAN4#108 meeting in </w:t>
      </w:r>
      <w:r w:rsidRPr="00953E62">
        <w:fldChar w:fldCharType="begin"/>
      </w:r>
      <w:r w:rsidRPr="00953E62">
        <w:instrText xml:space="preserve"> REF _Ref144457288 \r \h </w:instrText>
      </w:r>
      <w:r w:rsidR="00953E62" w:rsidRPr="00953E62">
        <w:instrText xml:space="preserve"> \* MERGEFORMAT </w:instrText>
      </w:r>
      <w:r w:rsidRPr="00953E62">
        <w:fldChar w:fldCharType="separate"/>
      </w:r>
      <w:r w:rsidRPr="00953E62">
        <w:t>[1]</w:t>
      </w:r>
      <w:r w:rsidRPr="00953E62">
        <w:fldChar w:fldCharType="end"/>
      </w:r>
      <w:r w:rsidRPr="00953E62">
        <w:t xml:space="preserve"> and </w:t>
      </w:r>
      <w:r w:rsidRPr="00953E62">
        <w:fldChar w:fldCharType="begin"/>
      </w:r>
      <w:r w:rsidRPr="00953E62">
        <w:instrText xml:space="preserve"> REF _Ref144457289 \r \h </w:instrText>
      </w:r>
      <w:r w:rsidR="00953E62" w:rsidRPr="00953E62">
        <w:instrText xml:space="preserve"> \* MERGEFORMAT </w:instrText>
      </w:r>
      <w:r w:rsidRPr="00953E62">
        <w:fldChar w:fldCharType="separate"/>
      </w:r>
      <w:r w:rsidRPr="00953E62">
        <w:t>[2]</w:t>
      </w:r>
      <w:r w:rsidRPr="00953E62">
        <w:fldChar w:fldCharType="end"/>
      </w:r>
      <w:r w:rsidRPr="00953E62">
        <w:t xml:space="preserve">. The CRs cover the requirements for DCI and MAC-CE based TCI state switch and active TCI state list update for s-DCI and m-DCI scenarios. RRC based TCI state switch as well as some details of DCI and MAC-CE based TCI state switch were left open and are depending on RAN1 input on RAN4 LS that was sent in </w:t>
      </w:r>
      <w:r w:rsidRPr="00953E62">
        <w:fldChar w:fldCharType="begin"/>
      </w:r>
      <w:r w:rsidRPr="00953E62">
        <w:instrText xml:space="preserve"> REF _Ref144457481 \r \h </w:instrText>
      </w:r>
      <w:r w:rsidR="00953E62" w:rsidRPr="00953E62">
        <w:instrText xml:space="preserve"> \* MERGEFORMAT </w:instrText>
      </w:r>
      <w:r w:rsidRPr="00953E62">
        <w:fldChar w:fldCharType="separate"/>
      </w:r>
      <w:r w:rsidRPr="00953E62">
        <w:t>[3]</w:t>
      </w:r>
      <w:r w:rsidRPr="00953E62">
        <w:fldChar w:fldCharType="end"/>
      </w:r>
      <w:r w:rsidRPr="00953E62">
        <w:t xml:space="preserve">. Furthermore, some aspects were still left FFS in the RAN4#108 WF for Part 2 of the NR_FR2_multiRxDL WI in </w:t>
      </w:r>
      <w:r w:rsidRPr="00953E62">
        <w:fldChar w:fldCharType="begin"/>
      </w:r>
      <w:r w:rsidRPr="00953E62">
        <w:instrText xml:space="preserve"> REF _Ref144457559 \r \h </w:instrText>
      </w:r>
      <w:r w:rsidR="00953E62" w:rsidRPr="00953E62">
        <w:instrText xml:space="preserve"> \* MERGEFORMAT </w:instrText>
      </w:r>
      <w:r w:rsidRPr="00953E62">
        <w:fldChar w:fldCharType="separate"/>
      </w:r>
      <w:r w:rsidRPr="00953E62">
        <w:t>[4]</w:t>
      </w:r>
      <w:r w:rsidRPr="00953E62">
        <w:fldChar w:fldCharType="end"/>
      </w:r>
      <w:r w:rsidRPr="00953E62">
        <w:t>.</w:t>
      </w:r>
    </w:p>
    <w:p w14:paraId="72388C77" w14:textId="38292578" w:rsidR="001043F2" w:rsidRPr="00953E62" w:rsidRDefault="001043F2" w:rsidP="002C7721">
      <w:r w:rsidRPr="00953E62">
        <w:t>In this contribution, we discuss the remaining details of TCI state switching in multi-Rx operation regarding the scenarios that are not depending on RAN1 LS response.</w:t>
      </w:r>
    </w:p>
    <w:p w14:paraId="5B55DE79" w14:textId="1D88E963" w:rsidR="004A52BC" w:rsidRPr="002C7721" w:rsidRDefault="004A52BC" w:rsidP="002C7721">
      <w:pPr>
        <w:pStyle w:val="RAN4H1"/>
      </w:pPr>
      <w:r w:rsidRPr="002C7721">
        <w:t xml:space="preserve">DCI based TCI state </w:t>
      </w:r>
      <w:proofErr w:type="gramStart"/>
      <w:r w:rsidRPr="002C7721">
        <w:t>switching</w:t>
      </w:r>
      <w:proofErr w:type="gramEnd"/>
    </w:p>
    <w:p w14:paraId="286E4538" w14:textId="0D694F3F" w:rsidR="00F32A3B" w:rsidRPr="005A5C0E" w:rsidRDefault="00F32A3B" w:rsidP="002C7721">
      <w:r w:rsidRPr="005A5C0E">
        <w:t>In RAN4#10</w:t>
      </w:r>
      <w:r w:rsidR="0068460E" w:rsidRPr="005A5C0E">
        <w:t>8</w:t>
      </w:r>
      <w:r w:rsidRPr="005A5C0E">
        <w:t xml:space="preserve"> meeting, the following FFS points were captured regarding DCI based TCI state switch:</w:t>
      </w:r>
    </w:p>
    <w:tbl>
      <w:tblPr>
        <w:tblStyle w:val="TableGrid"/>
        <w:tblW w:w="0" w:type="auto"/>
        <w:tblLook w:val="04A0" w:firstRow="1" w:lastRow="0" w:firstColumn="1" w:lastColumn="0" w:noHBand="0" w:noVBand="1"/>
      </w:tblPr>
      <w:tblGrid>
        <w:gridCol w:w="9617"/>
      </w:tblGrid>
      <w:tr w:rsidR="00007FBD" w14:paraId="6A25D848" w14:textId="77777777" w:rsidTr="587099EA">
        <w:tc>
          <w:tcPr>
            <w:tcW w:w="9617" w:type="dxa"/>
          </w:tcPr>
          <w:p w14:paraId="05003F79" w14:textId="77777777" w:rsidR="002B6DAC" w:rsidRPr="0020648A" w:rsidRDefault="002B6DAC" w:rsidP="0020648A">
            <w:pPr>
              <w:spacing w:after="180"/>
              <w:jc w:val="left"/>
              <w:rPr>
                <w:rFonts w:eastAsia="Times New Roman" w:cs="Times New Roman"/>
                <w:sz w:val="18"/>
                <w:szCs w:val="18"/>
                <w:lang w:val="en-GB"/>
              </w:rPr>
            </w:pPr>
            <w:r w:rsidRPr="0020648A">
              <w:rPr>
                <w:rFonts w:eastAsia="Times New Roman" w:cs="Times New Roman"/>
                <w:b/>
                <w:bCs/>
                <w:sz w:val="18"/>
                <w:szCs w:val="18"/>
                <w:u w:val="single"/>
                <w:lang w:val="en-GB"/>
              </w:rPr>
              <w:t>Issue 2-1-3: Other proposals for further discussion</w:t>
            </w:r>
          </w:p>
          <w:p w14:paraId="758FAB8B" w14:textId="77777777" w:rsidR="002B6DAC" w:rsidRPr="0020648A" w:rsidRDefault="002B6DAC" w:rsidP="002B6DAC">
            <w:pPr>
              <w:spacing w:after="120"/>
              <w:ind w:left="540"/>
              <w:jc w:val="left"/>
              <w:rPr>
                <w:rFonts w:eastAsia="Times New Roman" w:cs="Times New Roman"/>
                <w:sz w:val="18"/>
                <w:szCs w:val="18"/>
              </w:rPr>
            </w:pPr>
            <w:r w:rsidRPr="0020648A">
              <w:rPr>
                <w:rFonts w:eastAsia="Times New Roman" w:cs="Times New Roman"/>
                <w:sz w:val="18"/>
                <w:szCs w:val="18"/>
              </w:rPr>
              <w:t>FFS:</w:t>
            </w:r>
          </w:p>
          <w:p w14:paraId="23B4E23E" w14:textId="77777777" w:rsidR="002B6DAC" w:rsidRPr="0020648A" w:rsidRDefault="002B6DAC" w:rsidP="002B6DAC">
            <w:pPr>
              <w:numPr>
                <w:ilvl w:val="0"/>
                <w:numId w:val="20"/>
              </w:numPr>
              <w:jc w:val="left"/>
              <w:textAlignment w:val="center"/>
              <w:rPr>
                <w:rFonts w:ascii="Calibri" w:eastAsia="Times New Roman" w:hAnsi="Calibri" w:cs="Calibri"/>
                <w:szCs w:val="20"/>
              </w:rPr>
            </w:pPr>
            <w:r w:rsidRPr="0020648A">
              <w:rPr>
                <w:rFonts w:eastAsia="Times New Roman" w:cs="Times New Roman"/>
                <w:sz w:val="18"/>
                <w:szCs w:val="18"/>
              </w:rPr>
              <w:t xml:space="preserve">For DCI-based TCI state switching for </w:t>
            </w:r>
            <w:proofErr w:type="spellStart"/>
            <w:r w:rsidRPr="0020648A">
              <w:rPr>
                <w:rFonts w:eastAsia="Times New Roman" w:cs="Times New Roman"/>
                <w:sz w:val="18"/>
                <w:szCs w:val="18"/>
              </w:rPr>
              <w:t>sDCI</w:t>
            </w:r>
            <w:proofErr w:type="spellEnd"/>
            <w:r w:rsidRPr="0020648A">
              <w:rPr>
                <w:rFonts w:eastAsia="Times New Roman" w:cs="Times New Roman"/>
                <w:sz w:val="18"/>
                <w:szCs w:val="18"/>
              </w:rPr>
              <w:t xml:space="preserve">, there is no TCI state switching delay for the case from dual TCI to single TCI state switch when the target TCI is one of the source TCI (e.g. [RS1, RS2] to [RS1]), when UE is configured with GBBR and is NOT configured with non-GBBR. </w:t>
            </w:r>
            <w:r w:rsidRPr="0020648A">
              <w:rPr>
                <w:rFonts w:eastAsia="Times New Roman" w:cs="Times New Roman"/>
                <w:sz w:val="22"/>
              </w:rPr>
              <w:t> </w:t>
            </w:r>
          </w:p>
          <w:p w14:paraId="2752B56B" w14:textId="77777777" w:rsidR="00DF35AE" w:rsidRPr="0020648A" w:rsidRDefault="00DF35AE" w:rsidP="002B6DAC">
            <w:pPr>
              <w:numPr>
                <w:ilvl w:val="0"/>
                <w:numId w:val="20"/>
              </w:numPr>
              <w:jc w:val="left"/>
              <w:textAlignment w:val="center"/>
              <w:rPr>
                <w:rFonts w:ascii="Calibri" w:eastAsia="Times New Roman" w:hAnsi="Calibri" w:cs="Calibri"/>
                <w:szCs w:val="20"/>
              </w:rPr>
            </w:pPr>
          </w:p>
          <w:p w14:paraId="3FF8ED87" w14:textId="77777777" w:rsidR="00DF35AE" w:rsidRPr="0020648A" w:rsidRDefault="00DF35AE" w:rsidP="00DF35AE">
            <w:pPr>
              <w:spacing w:after="180"/>
              <w:jc w:val="left"/>
              <w:rPr>
                <w:rFonts w:eastAsia="Times New Roman" w:cs="Times New Roman"/>
                <w:sz w:val="18"/>
                <w:szCs w:val="18"/>
                <w:lang w:val="en-GB"/>
              </w:rPr>
            </w:pPr>
            <w:r w:rsidRPr="002C7721">
              <w:rPr>
                <w:rFonts w:eastAsia="Times New Roman" w:cs="Times New Roman"/>
                <w:b/>
                <w:bCs/>
                <w:sz w:val="18"/>
                <w:szCs w:val="18"/>
                <w:u w:val="single"/>
                <w:lang w:val="en-GB"/>
              </w:rPr>
              <w:t xml:space="preserve">Issue 2-2-1: DCI based dual TCI state switch for </w:t>
            </w:r>
            <w:proofErr w:type="spellStart"/>
            <w:r w:rsidRPr="002C7721">
              <w:rPr>
                <w:rFonts w:eastAsia="Times New Roman" w:cs="Times New Roman"/>
                <w:b/>
                <w:bCs/>
                <w:sz w:val="18"/>
                <w:szCs w:val="18"/>
                <w:u w:val="single"/>
                <w:lang w:val="en-GB"/>
              </w:rPr>
              <w:t>sDCI</w:t>
            </w:r>
            <w:proofErr w:type="spellEnd"/>
            <w:r w:rsidRPr="002C7721">
              <w:rPr>
                <w:rFonts w:eastAsia="Times New Roman" w:cs="Times New Roman"/>
                <w:b/>
                <w:bCs/>
                <w:sz w:val="18"/>
                <w:szCs w:val="18"/>
                <w:u w:val="single"/>
                <w:lang w:val="en-GB"/>
              </w:rPr>
              <w:t xml:space="preserve"> </w:t>
            </w:r>
            <w:proofErr w:type="gramStart"/>
            <w:r w:rsidRPr="002C7721">
              <w:rPr>
                <w:rFonts w:eastAsia="Times New Roman" w:cs="Times New Roman"/>
                <w:b/>
                <w:bCs/>
                <w:sz w:val="18"/>
                <w:szCs w:val="18"/>
                <w:u w:val="single"/>
                <w:lang w:val="en-GB"/>
              </w:rPr>
              <w:t>scenario</w:t>
            </w:r>
            <w:proofErr w:type="gramEnd"/>
            <w:r w:rsidRPr="0020648A">
              <w:rPr>
                <w:rFonts w:eastAsia="Times New Roman" w:cs="Times New Roman"/>
                <w:b/>
                <w:bCs/>
                <w:sz w:val="18"/>
                <w:szCs w:val="18"/>
                <w:u w:val="single"/>
                <w:lang w:val="en-GB"/>
              </w:rPr>
              <w:t xml:space="preserve"> </w:t>
            </w:r>
          </w:p>
          <w:p w14:paraId="4BBD1F7F" w14:textId="77777777" w:rsidR="00DF35AE" w:rsidRPr="002C7721" w:rsidRDefault="00DF35AE" w:rsidP="00DF35AE">
            <w:pPr>
              <w:spacing w:after="180"/>
              <w:jc w:val="left"/>
              <w:rPr>
                <w:rFonts w:eastAsia="Times New Roman" w:cs="Times New Roman"/>
                <w:sz w:val="18"/>
                <w:szCs w:val="18"/>
                <w:lang w:val="en-GB"/>
              </w:rPr>
            </w:pPr>
            <w:r w:rsidRPr="002C7721">
              <w:rPr>
                <w:rFonts w:eastAsia="Times New Roman" w:cs="Times New Roman"/>
                <w:sz w:val="18"/>
                <w:szCs w:val="18"/>
                <w:lang w:val="en-GB"/>
              </w:rPr>
              <w:t>Agreement</w:t>
            </w:r>
          </w:p>
          <w:p w14:paraId="316E219B" w14:textId="77777777" w:rsidR="00DF35AE" w:rsidRPr="002C7721" w:rsidRDefault="00DF35AE" w:rsidP="00DF35AE">
            <w:pPr>
              <w:numPr>
                <w:ilvl w:val="0"/>
                <w:numId w:val="29"/>
              </w:numPr>
              <w:spacing w:after="120"/>
              <w:jc w:val="left"/>
              <w:textAlignment w:val="center"/>
              <w:rPr>
                <w:rFonts w:ascii="Calibri" w:eastAsia="Times New Roman" w:hAnsi="Calibri" w:cs="Calibri"/>
                <w:szCs w:val="20"/>
              </w:rPr>
            </w:pPr>
            <w:r w:rsidRPr="002C7721">
              <w:rPr>
                <w:rFonts w:eastAsia="Times New Roman" w:cs="Times New Roman"/>
                <w:sz w:val="18"/>
                <w:szCs w:val="18"/>
              </w:rPr>
              <w:t>Reuse Rel-16 requirements as baseline</w:t>
            </w:r>
          </w:p>
          <w:p w14:paraId="690C024F" w14:textId="77777777" w:rsidR="00DF35AE" w:rsidRPr="002C7721" w:rsidRDefault="00DF35AE" w:rsidP="00DF35AE">
            <w:pPr>
              <w:numPr>
                <w:ilvl w:val="0"/>
                <w:numId w:val="29"/>
              </w:numPr>
              <w:spacing w:after="120"/>
              <w:jc w:val="left"/>
              <w:textAlignment w:val="center"/>
              <w:rPr>
                <w:rFonts w:ascii="Calibri" w:eastAsia="Times New Roman" w:hAnsi="Calibri" w:cs="Calibri"/>
                <w:szCs w:val="20"/>
              </w:rPr>
            </w:pPr>
            <w:r w:rsidRPr="002C7721">
              <w:rPr>
                <w:rFonts w:eastAsia="Times New Roman" w:cs="Times New Roman"/>
                <w:sz w:val="18"/>
                <w:szCs w:val="18"/>
              </w:rPr>
              <w:t xml:space="preserve">FFS if additional delay is introduced on top of Rel-16 </w:t>
            </w:r>
            <w:proofErr w:type="gramStart"/>
            <w:r w:rsidRPr="002C7721">
              <w:rPr>
                <w:rFonts w:eastAsia="Times New Roman" w:cs="Times New Roman"/>
                <w:sz w:val="18"/>
                <w:szCs w:val="18"/>
              </w:rPr>
              <w:t>requirements</w:t>
            </w:r>
            <w:proofErr w:type="gramEnd"/>
          </w:p>
          <w:p w14:paraId="7EFEF0D7" w14:textId="77777777" w:rsidR="002B6DAC" w:rsidRPr="0020648A" w:rsidRDefault="002B6DAC" w:rsidP="002B6DAC">
            <w:pPr>
              <w:jc w:val="left"/>
              <w:textAlignment w:val="center"/>
              <w:rPr>
                <w:rFonts w:eastAsia="Times New Roman" w:cs="Times New Roman"/>
                <w:sz w:val="22"/>
              </w:rPr>
            </w:pPr>
          </w:p>
          <w:p w14:paraId="74355673" w14:textId="77777777" w:rsidR="002B6DAC" w:rsidRPr="0020648A" w:rsidRDefault="002B6DAC" w:rsidP="002B6DAC">
            <w:pPr>
              <w:spacing w:after="120"/>
              <w:ind w:left="540"/>
              <w:jc w:val="left"/>
              <w:rPr>
                <w:rFonts w:eastAsia="Times New Roman" w:cs="Times New Roman"/>
                <w:sz w:val="18"/>
                <w:szCs w:val="18"/>
                <w:lang w:val="en-GB"/>
              </w:rPr>
            </w:pPr>
            <w:r w:rsidRPr="0020648A">
              <w:rPr>
                <w:rFonts w:eastAsia="Times New Roman" w:cs="Times New Roman"/>
                <w:b/>
                <w:bCs/>
                <w:sz w:val="18"/>
                <w:szCs w:val="18"/>
                <w:u w:val="single"/>
                <w:lang w:val="en-GB"/>
              </w:rPr>
              <w:t xml:space="preserve">Issue 2-2-2-3: Other proposals for DCI based dual TCI state switch in </w:t>
            </w:r>
            <w:proofErr w:type="spellStart"/>
            <w:proofErr w:type="gramStart"/>
            <w:r w:rsidRPr="0020648A">
              <w:rPr>
                <w:rFonts w:eastAsia="Times New Roman" w:cs="Times New Roman"/>
                <w:b/>
                <w:bCs/>
                <w:sz w:val="18"/>
                <w:szCs w:val="18"/>
                <w:u w:val="single"/>
                <w:lang w:val="en-GB"/>
              </w:rPr>
              <w:t>mDCI</w:t>
            </w:r>
            <w:proofErr w:type="spellEnd"/>
            <w:proofErr w:type="gramEnd"/>
          </w:p>
          <w:p w14:paraId="3D4276C2" w14:textId="77777777" w:rsidR="002B6DAC" w:rsidRPr="0020648A" w:rsidRDefault="002B6DAC" w:rsidP="002B6DAC">
            <w:pPr>
              <w:numPr>
                <w:ilvl w:val="0"/>
                <w:numId w:val="21"/>
              </w:numPr>
              <w:spacing w:after="120"/>
              <w:jc w:val="left"/>
              <w:textAlignment w:val="center"/>
              <w:rPr>
                <w:rFonts w:ascii="Calibri" w:eastAsia="Times New Roman" w:hAnsi="Calibri" w:cs="Calibri"/>
                <w:szCs w:val="20"/>
              </w:rPr>
            </w:pPr>
            <w:r w:rsidRPr="0020648A">
              <w:rPr>
                <w:rFonts w:eastAsia="Times New Roman" w:cs="Times New Roman"/>
                <w:sz w:val="18"/>
                <w:szCs w:val="18"/>
              </w:rPr>
              <w:t>Proposals:</w:t>
            </w:r>
          </w:p>
          <w:p w14:paraId="39D2C96B" w14:textId="77777777" w:rsidR="002B6DAC" w:rsidRPr="0020648A" w:rsidRDefault="002B6DAC" w:rsidP="002B6DAC">
            <w:pPr>
              <w:numPr>
                <w:ilvl w:val="1"/>
                <w:numId w:val="21"/>
              </w:numPr>
              <w:spacing w:after="120"/>
              <w:jc w:val="left"/>
              <w:textAlignment w:val="center"/>
              <w:rPr>
                <w:rFonts w:ascii="Calibri" w:eastAsia="Times New Roman" w:hAnsi="Calibri" w:cs="Calibri"/>
                <w:szCs w:val="20"/>
              </w:rPr>
            </w:pPr>
            <w:r w:rsidRPr="0020648A">
              <w:rPr>
                <w:rFonts w:eastAsia="Times New Roman" w:cs="Times New Roman"/>
                <w:sz w:val="18"/>
                <w:szCs w:val="18"/>
              </w:rPr>
              <w:t>Proposal 1: In a m-DCI scenario, for DCI based TCI state switching, when UE is indicated a TCI via DCI per TRP, delay requirements can be applied independently per DCI and in case the UE cannot receive simultaneously in the time interval between the first TCI switch and the second TCI state switch, UE is expected to receive in a TDM manner during this interval.</w:t>
            </w:r>
          </w:p>
          <w:p w14:paraId="6685D8A6" w14:textId="77777777" w:rsidR="002B6DAC" w:rsidRPr="0020648A" w:rsidRDefault="002B6DAC" w:rsidP="002B6DAC">
            <w:pPr>
              <w:numPr>
                <w:ilvl w:val="1"/>
                <w:numId w:val="21"/>
              </w:numPr>
              <w:spacing w:after="120"/>
              <w:jc w:val="left"/>
              <w:textAlignment w:val="center"/>
              <w:rPr>
                <w:rFonts w:ascii="Calibri" w:eastAsia="Times New Roman" w:hAnsi="Calibri" w:cs="Calibri"/>
                <w:szCs w:val="20"/>
              </w:rPr>
            </w:pPr>
            <w:r w:rsidRPr="0020648A">
              <w:rPr>
                <w:rFonts w:eastAsia="Times New Roman" w:cs="Times New Roman"/>
                <w:sz w:val="18"/>
                <w:szCs w:val="18"/>
              </w:rPr>
              <w:t xml:space="preserve">Proposal2: In </w:t>
            </w:r>
            <w:proofErr w:type="spellStart"/>
            <w:r w:rsidRPr="0020648A">
              <w:rPr>
                <w:rFonts w:eastAsia="Times New Roman" w:cs="Times New Roman"/>
                <w:sz w:val="18"/>
                <w:szCs w:val="18"/>
              </w:rPr>
              <w:t>mDCI</w:t>
            </w:r>
            <w:proofErr w:type="spellEnd"/>
            <w:r w:rsidRPr="0020648A">
              <w:rPr>
                <w:rFonts w:eastAsia="Times New Roman" w:cs="Times New Roman"/>
                <w:sz w:val="18"/>
                <w:szCs w:val="18"/>
              </w:rPr>
              <w:t xml:space="preserve"> scenario, TCI switching with one </w:t>
            </w:r>
            <w:proofErr w:type="spellStart"/>
            <w:r w:rsidRPr="0020648A">
              <w:rPr>
                <w:rFonts w:eastAsia="Times New Roman" w:cs="Times New Roman"/>
                <w:sz w:val="18"/>
                <w:szCs w:val="18"/>
              </w:rPr>
              <w:t>CORESETpoolindex</w:t>
            </w:r>
            <w:proofErr w:type="spellEnd"/>
            <w:r w:rsidRPr="0020648A">
              <w:rPr>
                <w:rFonts w:eastAsia="Times New Roman" w:cs="Times New Roman"/>
                <w:sz w:val="18"/>
                <w:szCs w:val="18"/>
              </w:rPr>
              <w:t xml:space="preserve"> does not cause interruptions on TCI states with another </w:t>
            </w:r>
            <w:proofErr w:type="spellStart"/>
            <w:r w:rsidRPr="0020648A">
              <w:rPr>
                <w:rFonts w:eastAsia="Times New Roman" w:cs="Times New Roman"/>
                <w:sz w:val="18"/>
                <w:szCs w:val="18"/>
              </w:rPr>
              <w:t>CORESETpoolindex</w:t>
            </w:r>
            <w:proofErr w:type="spellEnd"/>
            <w:r w:rsidRPr="0020648A">
              <w:rPr>
                <w:rFonts w:eastAsia="Times New Roman" w:cs="Times New Roman"/>
                <w:sz w:val="18"/>
                <w:szCs w:val="18"/>
              </w:rPr>
              <w:t xml:space="preserve">. </w:t>
            </w:r>
          </w:p>
          <w:p w14:paraId="37D53CC9" w14:textId="77777777" w:rsidR="002B6DAC" w:rsidRPr="0020648A" w:rsidRDefault="002B6DAC" w:rsidP="002B6DAC">
            <w:pPr>
              <w:numPr>
                <w:ilvl w:val="0"/>
                <w:numId w:val="21"/>
              </w:numPr>
              <w:spacing w:after="120"/>
              <w:jc w:val="left"/>
              <w:textAlignment w:val="center"/>
              <w:rPr>
                <w:rFonts w:ascii="Calibri" w:eastAsia="Times New Roman" w:hAnsi="Calibri" w:cs="Calibri"/>
                <w:szCs w:val="20"/>
              </w:rPr>
            </w:pPr>
            <w:r w:rsidRPr="0020648A">
              <w:rPr>
                <w:rFonts w:eastAsia="Times New Roman" w:cs="Times New Roman"/>
                <w:sz w:val="18"/>
                <w:szCs w:val="18"/>
              </w:rPr>
              <w:t>Recommended WF</w:t>
            </w:r>
          </w:p>
          <w:p w14:paraId="2D6CF93E" w14:textId="1989E1FB" w:rsidR="002B6DAC" w:rsidRPr="00052D18" w:rsidRDefault="002B6DAC" w:rsidP="00AB6496">
            <w:pPr>
              <w:numPr>
                <w:ilvl w:val="1"/>
                <w:numId w:val="21"/>
              </w:numPr>
              <w:spacing w:after="120"/>
              <w:jc w:val="left"/>
              <w:textAlignment w:val="center"/>
              <w:rPr>
                <w:rFonts w:ascii="Calibri" w:eastAsia="Times New Roman" w:hAnsi="Calibri" w:cs="Calibri"/>
                <w:sz w:val="22"/>
              </w:rPr>
            </w:pPr>
            <w:r w:rsidRPr="0020648A">
              <w:rPr>
                <w:rFonts w:eastAsia="Times New Roman" w:cs="Times New Roman"/>
                <w:sz w:val="18"/>
                <w:szCs w:val="18"/>
              </w:rPr>
              <w:t>Companies may bring further analysis to next meeting.</w:t>
            </w:r>
          </w:p>
          <w:p w14:paraId="521E295E" w14:textId="77777777" w:rsidR="00007FBD" w:rsidRDefault="00007FBD" w:rsidP="00007FBD">
            <w:pPr>
              <w:rPr>
                <w:lang w:val="en-GB"/>
              </w:rPr>
            </w:pPr>
          </w:p>
        </w:tc>
      </w:tr>
    </w:tbl>
    <w:p w14:paraId="132F0059" w14:textId="7CD63B25" w:rsidR="00007FBD" w:rsidRPr="0031603F" w:rsidRDefault="00007FBD" w:rsidP="00007FBD">
      <w:pPr>
        <w:rPr>
          <w:color w:val="E7E6E6" w:themeColor="background2"/>
          <w:lang w:val="en-GB"/>
        </w:rPr>
      </w:pPr>
    </w:p>
    <w:p w14:paraId="41A7FCAB" w14:textId="77777777" w:rsidR="00007FBD" w:rsidRPr="00007FBD" w:rsidRDefault="00007FBD" w:rsidP="00007FBD">
      <w:pPr>
        <w:rPr>
          <w:lang w:val="en-GB"/>
        </w:rPr>
      </w:pPr>
    </w:p>
    <w:p w14:paraId="08449C41" w14:textId="5716D0D8" w:rsidR="004A52BC" w:rsidRPr="0020648A" w:rsidRDefault="004A52BC" w:rsidP="00052D18">
      <w:pPr>
        <w:pStyle w:val="RAN4H2"/>
      </w:pPr>
      <w:r w:rsidRPr="0020648A">
        <w:t>Single</w:t>
      </w:r>
      <w:r w:rsidR="00D26556" w:rsidRPr="0020648A">
        <w:t>-</w:t>
      </w:r>
      <w:r w:rsidRPr="0020648A">
        <w:t>DCI</w:t>
      </w:r>
    </w:p>
    <w:p w14:paraId="2A48F24B" w14:textId="06BD46D8" w:rsidR="00F06096" w:rsidRDefault="00B12EFE" w:rsidP="002C7721">
      <w:r w:rsidRPr="1BAEE339">
        <w:t>It has been agreed in RAN4 #106-bis-e that GBBR is a prerequisite to enable simultaneous transmission. In such a scenario, when the UE switches from dual to single TCI and the target TCI is also the source TCI, there is no need for a TCI switching delay.</w:t>
      </w:r>
    </w:p>
    <w:p w14:paraId="2BBD002C" w14:textId="235FB900" w:rsidR="00E62F0E" w:rsidRPr="0020648A" w:rsidRDefault="00E62F0E" w:rsidP="002C7721">
      <w:pPr>
        <w:pStyle w:val="RAN4proposal"/>
        <w:ind w:left="360"/>
      </w:pPr>
      <w:bookmarkStart w:id="6" w:name="_Toc146740400"/>
      <w:r w:rsidRPr="0020648A">
        <w:t>During a dual to single TCI state switch, if the target TCI state is also one of the source TCI states, then TCI switching delay will not apply</w:t>
      </w:r>
      <w:r w:rsidR="00B50957" w:rsidRPr="0020648A">
        <w:t xml:space="preserve"> </w:t>
      </w:r>
      <w:r w:rsidR="00545B0D" w:rsidRPr="0020648A">
        <w:t>when GBBR is enabled.</w:t>
      </w:r>
      <w:bookmarkEnd w:id="6"/>
    </w:p>
    <w:p w14:paraId="7348C509" w14:textId="44DB0B56" w:rsidR="00C9637A" w:rsidRPr="00A02985" w:rsidRDefault="00C9637A" w:rsidP="002C7721">
      <w:r w:rsidRPr="00A02985">
        <w:t xml:space="preserve">In DCI based TCI state switch, RAN1 specifications indicate that the UE shall be ready to receive the PDSCH with the TCI state indicated by the DCI when the time offset between the reception of the downlink DCI and the corresponding PDSCH is greater than or equal to </w:t>
      </w:r>
      <w:proofErr w:type="spellStart"/>
      <w:r w:rsidRPr="0099070F">
        <w:rPr>
          <w:i/>
          <w:iCs/>
        </w:rPr>
        <w:t>time</w:t>
      </w:r>
      <w:r w:rsidR="0099070F" w:rsidRPr="0099070F">
        <w:rPr>
          <w:i/>
          <w:iCs/>
        </w:rPr>
        <w:t>D</w:t>
      </w:r>
      <w:r w:rsidRPr="0099070F">
        <w:rPr>
          <w:i/>
          <w:iCs/>
        </w:rPr>
        <w:t>uration</w:t>
      </w:r>
      <w:r w:rsidR="0099070F" w:rsidRPr="0099070F">
        <w:rPr>
          <w:i/>
          <w:iCs/>
        </w:rPr>
        <w:t>F</w:t>
      </w:r>
      <w:r w:rsidRPr="0099070F">
        <w:rPr>
          <w:i/>
          <w:iCs/>
        </w:rPr>
        <w:t>orQCL</w:t>
      </w:r>
      <w:proofErr w:type="spellEnd"/>
      <w:r w:rsidRPr="00A02985">
        <w:t xml:space="preserve">. The </w:t>
      </w:r>
      <w:proofErr w:type="spellStart"/>
      <w:r w:rsidRPr="0099070F">
        <w:rPr>
          <w:i/>
          <w:iCs/>
        </w:rPr>
        <w:t>time</w:t>
      </w:r>
      <w:r w:rsidR="0099070F" w:rsidRPr="0099070F">
        <w:rPr>
          <w:i/>
          <w:iCs/>
        </w:rPr>
        <w:t>D</w:t>
      </w:r>
      <w:r w:rsidRPr="0099070F">
        <w:rPr>
          <w:i/>
          <w:iCs/>
        </w:rPr>
        <w:t>uration</w:t>
      </w:r>
      <w:r w:rsidR="0099070F" w:rsidRPr="0099070F">
        <w:rPr>
          <w:i/>
          <w:iCs/>
        </w:rPr>
        <w:t>F</w:t>
      </w:r>
      <w:r w:rsidRPr="0099070F">
        <w:rPr>
          <w:i/>
          <w:iCs/>
        </w:rPr>
        <w:t>orQCL</w:t>
      </w:r>
      <w:proofErr w:type="spellEnd"/>
      <w:r w:rsidRPr="00A02985">
        <w:t xml:space="preserve"> parameter is a UE capability and it is defined in the RAN1 specification (38.214</w:t>
      </w:r>
      <w:proofErr w:type="gramStart"/>
      <w:r w:rsidRPr="00A02985">
        <w:t>)</w:t>
      </w:r>
      <w:proofErr w:type="gramEnd"/>
      <w:r w:rsidRPr="00A02985">
        <w:t xml:space="preserve"> and the values are defined in RAN2 specificati</w:t>
      </w:r>
      <w:r w:rsidR="00606C0C">
        <w:t>o</w:t>
      </w:r>
      <w:r w:rsidRPr="00A02985">
        <w:t xml:space="preserve">n (38.331). The requirements in 38.214 do not distinguish between the number of TCI states that are indicated by the DCI (one or two) </w:t>
      </w:r>
      <w:proofErr w:type="gramStart"/>
      <w:r w:rsidRPr="00A02985">
        <w:t>i.e.</w:t>
      </w:r>
      <w:proofErr w:type="gramEnd"/>
      <w:r w:rsidRPr="00A02985">
        <w:t xml:space="preserve"> the delay is the same regardless of the number of TCI states that are indicated. Hence, legacy delay may be used for s-DCI and additional delay as proposed by some companies in the previous RAN4 meetings is not needed. Furthermore, </w:t>
      </w:r>
      <w:r w:rsidR="00F9044E">
        <w:t>we do</w:t>
      </w:r>
      <w:r w:rsidR="00AD59CB">
        <w:t xml:space="preserve"> </w:t>
      </w:r>
      <w:r w:rsidR="00F9044E">
        <w:t xml:space="preserve">not see the </w:t>
      </w:r>
      <w:r w:rsidR="00AD59CB">
        <w:t>need</w:t>
      </w:r>
      <w:r w:rsidR="00F9044E">
        <w:t xml:space="preserve"> to add a new UE capability or any other dynamic </w:t>
      </w:r>
      <w:r w:rsidR="00526444">
        <w:t xml:space="preserve">indication from the UE indicating need for additional time which would result in </w:t>
      </w:r>
      <w:r w:rsidR="008C40FB">
        <w:t>signaling</w:t>
      </w:r>
      <w:r w:rsidR="00A6593F">
        <w:t xml:space="preserve"> overheads and would complicate the feature further.</w:t>
      </w:r>
      <w:r w:rsidRPr="00A02985">
        <w:t xml:space="preserve"> </w:t>
      </w:r>
    </w:p>
    <w:p w14:paraId="2D9FE173" w14:textId="6A365508" w:rsidR="00E62F0E" w:rsidRPr="0020648A" w:rsidRDefault="00C9637A" w:rsidP="002C7721">
      <w:pPr>
        <w:pStyle w:val="RAN4proposal"/>
        <w:ind w:left="360"/>
      </w:pPr>
      <w:bookmarkStart w:id="7" w:name="_Toc146740401"/>
      <w:r w:rsidRPr="0020648A">
        <w:t>For single-DCI scenario, RAN4 to reuse Rel-16 requirements for DCI based TCI switching for PDSCH</w:t>
      </w:r>
      <w:r w:rsidR="0011187F" w:rsidRPr="0020648A">
        <w:t>, and no additional delay is considered</w:t>
      </w:r>
      <w:r w:rsidRPr="0020648A">
        <w:t>.</w:t>
      </w:r>
      <w:bookmarkEnd w:id="7"/>
    </w:p>
    <w:p w14:paraId="57832C29" w14:textId="4B9D93E9" w:rsidR="004A52BC" w:rsidRPr="00052D18" w:rsidRDefault="5842E8A6" w:rsidP="00052D18">
      <w:pPr>
        <w:pStyle w:val="RAN4H2"/>
      </w:pPr>
      <w:bookmarkStart w:id="8" w:name="_Ref145075017"/>
      <w:r w:rsidRPr="00052D18">
        <w:t>Multi</w:t>
      </w:r>
      <w:r w:rsidR="00D26556" w:rsidRPr="00052D18">
        <w:t>-</w:t>
      </w:r>
      <w:r w:rsidRPr="00052D18">
        <w:t>DCI</w:t>
      </w:r>
      <w:bookmarkEnd w:id="8"/>
    </w:p>
    <w:p w14:paraId="56F2C14F" w14:textId="3E149A1B" w:rsidR="00022D1A" w:rsidRPr="003E0687" w:rsidRDefault="003E021E" w:rsidP="002C7721">
      <w:r w:rsidRPr="003E0687">
        <w:t xml:space="preserve">RAN4 has sent LS to RAN1 requesting for inputs on the </w:t>
      </w:r>
      <w:r w:rsidR="00285CDC">
        <w:t xml:space="preserve">RAN1 agreements on </w:t>
      </w:r>
      <w:r w:rsidR="006D579C">
        <w:t xml:space="preserve">need for an offset </w:t>
      </w:r>
      <w:r w:rsidRPr="003E0687">
        <w:t xml:space="preserve">during m-DCI TCI state switch. </w:t>
      </w:r>
      <w:r w:rsidR="00A02B82" w:rsidRPr="003E0687">
        <w:t xml:space="preserve">Based on the RAN1 input, </w:t>
      </w:r>
      <w:r w:rsidR="00594B6A" w:rsidRPr="003E0687">
        <w:t xml:space="preserve">RAN4 can further decide if the TCI state switch in m-TRP m-DCI scenario can be processed independently </w:t>
      </w:r>
      <w:r w:rsidR="00B0691A" w:rsidRPr="003E0687">
        <w:t>or with an offset</w:t>
      </w:r>
      <w:r w:rsidR="00022D1A" w:rsidRPr="003E0687">
        <w:t xml:space="preserve">. </w:t>
      </w:r>
    </w:p>
    <w:p w14:paraId="130E99A8" w14:textId="2F10F4A9" w:rsidR="00694CA4" w:rsidRPr="003E0687" w:rsidRDefault="005C36A9" w:rsidP="002C7721">
      <w:r>
        <w:t>Additionally,</w:t>
      </w:r>
      <w:r w:rsidR="00022D1A" w:rsidRPr="003E0687">
        <w:t xml:space="preserve"> </w:t>
      </w:r>
      <w:r w:rsidR="0032634E" w:rsidRPr="003E0687">
        <w:t>RAN4 should also c</w:t>
      </w:r>
      <w:r w:rsidR="00287501" w:rsidRPr="003E0687">
        <w:t>larify the</w:t>
      </w:r>
      <w:r w:rsidR="003E0687">
        <w:t xml:space="preserve"> UE</w:t>
      </w:r>
      <w:r w:rsidR="00287501" w:rsidRPr="003E0687">
        <w:t xml:space="preserve"> behavior</w:t>
      </w:r>
      <w:r w:rsidR="00B16CDC" w:rsidRPr="003E0687">
        <w:t xml:space="preserve"> when </w:t>
      </w:r>
      <w:r w:rsidR="00451C05">
        <w:t xml:space="preserve">defining the </w:t>
      </w:r>
      <w:r w:rsidR="00CC207D">
        <w:t xml:space="preserve">TCI state switch delay </w:t>
      </w:r>
      <w:r w:rsidR="00756F46">
        <w:t xml:space="preserve">requirements </w:t>
      </w:r>
      <w:r w:rsidR="00756F46" w:rsidRPr="003E0687">
        <w:t>in</w:t>
      </w:r>
      <w:r w:rsidR="003E0687">
        <w:t xml:space="preserve"> m-DCI</w:t>
      </w:r>
      <w:r w:rsidR="00287501" w:rsidRPr="00287501">
        <w:t>.</w:t>
      </w:r>
    </w:p>
    <w:p w14:paraId="3286C238" w14:textId="3353AD78" w:rsidR="00694CA4" w:rsidRPr="003E0687" w:rsidRDefault="00694CA4" w:rsidP="002C7721">
      <w:r w:rsidRPr="003E0687">
        <w:t>In m</w:t>
      </w:r>
      <w:r w:rsidR="00DA12CF">
        <w:t>-</w:t>
      </w:r>
      <w:r w:rsidRPr="003E0687">
        <w:t>DCI scenario,</w:t>
      </w:r>
      <w:r w:rsidRPr="003E0687" w:rsidDel="00F32993">
        <w:t xml:space="preserve"> </w:t>
      </w:r>
      <w:r w:rsidRPr="003E0687">
        <w:t xml:space="preserve">the DCI switching is performed independently by </w:t>
      </w:r>
      <w:proofErr w:type="spellStart"/>
      <w:r w:rsidRPr="003E0687">
        <w:t>coresetPoolIndex</w:t>
      </w:r>
      <w:proofErr w:type="spellEnd"/>
      <w:r w:rsidRPr="003E0687">
        <w:t xml:space="preserve">. In this situation it is expected that the UE has the hardware capability of performing the switching for 1 TRP without any impact, like interruptions, in the other TRP. </w:t>
      </w:r>
      <w:r w:rsidR="006442D1" w:rsidRPr="003E0687">
        <w:t xml:space="preserve">For example, as illustrated in </w:t>
      </w:r>
      <w:r w:rsidR="0069240D" w:rsidRPr="003E0687">
        <w:fldChar w:fldCharType="begin"/>
      </w:r>
      <w:r w:rsidR="0069240D" w:rsidRPr="003E0687">
        <w:instrText xml:space="preserve"> REF _Ref145058131 \h </w:instrText>
      </w:r>
      <w:r w:rsidR="006159B2" w:rsidRPr="003E0687">
        <w:instrText xml:space="preserve"> \* MERGEFORMAT </w:instrText>
      </w:r>
      <w:r w:rsidR="0069240D" w:rsidRPr="003E0687">
        <w:fldChar w:fldCharType="separate"/>
      </w:r>
      <w:r w:rsidR="0069240D" w:rsidRPr="003E0687">
        <w:t>Figure 3</w:t>
      </w:r>
      <w:r w:rsidR="0069240D" w:rsidRPr="003E0687">
        <w:fldChar w:fldCharType="end"/>
      </w:r>
      <w:r w:rsidR="0069240D" w:rsidRPr="003E0687">
        <w:t xml:space="preserve">, </w:t>
      </w:r>
      <w:r w:rsidR="0037538F" w:rsidRPr="003E0687">
        <w:t xml:space="preserve">UE may </w:t>
      </w:r>
      <w:r w:rsidR="006159B2" w:rsidRPr="003E0687">
        <w:t xml:space="preserve">be </w:t>
      </w:r>
      <w:r w:rsidR="0063539B" w:rsidRPr="003E0687">
        <w:t>using TCI#0 and TCI#1 for simultaneous reception. After the switch, it can receive TCI#2 and TCI#</w:t>
      </w:r>
      <w:r w:rsidR="0028545F" w:rsidRPr="003E0687">
        <w:t>1</w:t>
      </w:r>
      <w:r w:rsidR="0063539B" w:rsidRPr="003E0687">
        <w:t xml:space="preserve"> simultaneously</w:t>
      </w:r>
      <w:r w:rsidR="0023293E" w:rsidRPr="003E0687">
        <w:t xml:space="preserve"> from TRP#1 and TRP#2 respectively. In such case, only TCI#</w:t>
      </w:r>
      <w:r w:rsidR="00E11640" w:rsidRPr="003E0687">
        <w:t xml:space="preserve">2 needs to be switched and not TCI#1. Hence while switching TCI#0 to TCI#2 </w:t>
      </w:r>
      <w:r w:rsidR="00953E62" w:rsidRPr="003E0687">
        <w:t xml:space="preserve">associated to TRP#1, there should be no interruption in reception of TCI#1 from TRP#2. </w:t>
      </w:r>
      <w:r w:rsidRPr="003E0687">
        <w:t xml:space="preserve">Therefore, it is needed to clarify in specifications that the independence between TRPs is assumed and that no interruption is caused in the ongoing communication of one TRP due to beam switch in another TRP. </w:t>
      </w:r>
    </w:p>
    <w:p w14:paraId="76D59DF4" w14:textId="12A935E3" w:rsidR="00694CA4" w:rsidRPr="00BE0B56" w:rsidRDefault="00694CA4" w:rsidP="002C7721">
      <w:pPr>
        <w:keepNext/>
        <w:jc w:val="center"/>
        <w:rPr>
          <w:sz w:val="18"/>
          <w:szCs w:val="20"/>
        </w:rPr>
      </w:pPr>
    </w:p>
    <w:p w14:paraId="5A3D1DA8" w14:textId="0D3DA1D3" w:rsidR="0057415A" w:rsidRPr="00BE0B56" w:rsidRDefault="0057415A" w:rsidP="002C7721">
      <w:pPr>
        <w:keepNext/>
        <w:jc w:val="center"/>
        <w:rPr>
          <w:sz w:val="18"/>
          <w:szCs w:val="20"/>
        </w:rPr>
      </w:pPr>
      <w:r w:rsidRPr="00BE0B56">
        <w:rPr>
          <w:noProof/>
          <w:sz w:val="18"/>
          <w:szCs w:val="20"/>
        </w:rPr>
        <w:drawing>
          <wp:inline distT="0" distB="0" distL="0" distR="0" wp14:anchorId="20690AB7" wp14:editId="44708A9F">
            <wp:extent cx="4452425" cy="2420575"/>
            <wp:effectExtent l="19050" t="19050" r="24765"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0419" cy="2424921"/>
                    </a:xfrm>
                    <a:prstGeom prst="rect">
                      <a:avLst/>
                    </a:prstGeom>
                    <a:noFill/>
                    <a:ln>
                      <a:solidFill>
                        <a:schemeClr val="tx1"/>
                      </a:solidFill>
                    </a:ln>
                  </pic:spPr>
                </pic:pic>
              </a:graphicData>
            </a:graphic>
          </wp:inline>
        </w:drawing>
      </w:r>
    </w:p>
    <w:p w14:paraId="7C19A202" w14:textId="0053FD09" w:rsidR="00694CA4" w:rsidRPr="00BE0B56" w:rsidRDefault="00694CA4" w:rsidP="002C7721">
      <w:pPr>
        <w:pStyle w:val="Caption"/>
        <w:rPr>
          <w:sz w:val="16"/>
          <w:szCs w:val="16"/>
          <w:lang w:val="en-GB"/>
        </w:rPr>
      </w:pPr>
      <w:bookmarkStart w:id="9" w:name="_Ref145058131"/>
      <w:r w:rsidRPr="00BE0B56">
        <w:rPr>
          <w:sz w:val="16"/>
          <w:szCs w:val="16"/>
        </w:rPr>
        <w:t xml:space="preserve">Figure </w:t>
      </w:r>
      <w:r w:rsidRPr="00BE0B56">
        <w:rPr>
          <w:sz w:val="16"/>
          <w:szCs w:val="16"/>
        </w:rPr>
        <w:fldChar w:fldCharType="begin"/>
      </w:r>
      <w:r w:rsidRPr="00BE0B56">
        <w:rPr>
          <w:sz w:val="16"/>
          <w:szCs w:val="16"/>
        </w:rPr>
        <w:instrText xml:space="preserve"> SEQ Figure \* ARABIC </w:instrText>
      </w:r>
      <w:r w:rsidRPr="00BE0B56">
        <w:rPr>
          <w:sz w:val="16"/>
          <w:szCs w:val="16"/>
        </w:rPr>
        <w:fldChar w:fldCharType="separate"/>
      </w:r>
      <w:r w:rsidR="0069240D" w:rsidRPr="00BE0B56">
        <w:rPr>
          <w:noProof/>
          <w:sz w:val="16"/>
          <w:szCs w:val="16"/>
        </w:rPr>
        <w:t>3</w:t>
      </w:r>
      <w:r w:rsidRPr="00BE0B56">
        <w:rPr>
          <w:noProof/>
          <w:sz w:val="16"/>
          <w:szCs w:val="16"/>
        </w:rPr>
        <w:fldChar w:fldCharType="end"/>
      </w:r>
      <w:bookmarkEnd w:id="9"/>
      <w:r w:rsidRPr="00BE0B56">
        <w:rPr>
          <w:sz w:val="16"/>
          <w:szCs w:val="16"/>
        </w:rPr>
        <w:t xml:space="preserve"> Example of </w:t>
      </w:r>
      <w:proofErr w:type="spellStart"/>
      <w:r w:rsidRPr="00BE0B56">
        <w:rPr>
          <w:sz w:val="16"/>
          <w:szCs w:val="16"/>
        </w:rPr>
        <w:t>mDCI</w:t>
      </w:r>
      <w:proofErr w:type="spellEnd"/>
      <w:r w:rsidRPr="00BE0B56">
        <w:rPr>
          <w:sz w:val="16"/>
          <w:szCs w:val="16"/>
        </w:rPr>
        <w:t xml:space="preserve"> operation, with TCI command on TRP1 while TCI state in TRP2 is </w:t>
      </w:r>
      <w:r w:rsidR="00E2673F" w:rsidRPr="00BE0B56">
        <w:rPr>
          <w:sz w:val="16"/>
          <w:szCs w:val="16"/>
        </w:rPr>
        <w:t>unchanged.</w:t>
      </w:r>
    </w:p>
    <w:p w14:paraId="7DDB1362" w14:textId="77777777" w:rsidR="00694CA4" w:rsidRPr="00BE0B56" w:rsidRDefault="00694CA4" w:rsidP="002C7721">
      <w:pPr>
        <w:rPr>
          <w:sz w:val="18"/>
          <w:szCs w:val="20"/>
        </w:rPr>
      </w:pPr>
    </w:p>
    <w:p w14:paraId="54D3C0B6" w14:textId="59362DBE" w:rsidR="00A12231" w:rsidRPr="0020648A" w:rsidRDefault="00A12231" w:rsidP="002C7721">
      <w:pPr>
        <w:pStyle w:val="RAN4proposal"/>
        <w:ind w:left="360"/>
      </w:pPr>
      <w:bookmarkStart w:id="10" w:name="_Toc146740402"/>
      <w:r w:rsidRPr="0020648A">
        <w:t xml:space="preserve">In </w:t>
      </w:r>
      <w:proofErr w:type="spellStart"/>
      <w:r w:rsidRPr="0020648A">
        <w:t>mDCI</w:t>
      </w:r>
      <w:proofErr w:type="spellEnd"/>
      <w:r w:rsidRPr="0020648A">
        <w:t xml:space="preserve"> scenario, TCI switching with one </w:t>
      </w:r>
      <w:proofErr w:type="spellStart"/>
      <w:r w:rsidR="00A249FF" w:rsidRPr="0020648A">
        <w:t>CORESET</w:t>
      </w:r>
      <w:r w:rsidRPr="0020648A">
        <w:t>poolindex</w:t>
      </w:r>
      <w:proofErr w:type="spellEnd"/>
      <w:r w:rsidRPr="0020648A">
        <w:t xml:space="preserve"> does not cause interruptions on TCI states with another </w:t>
      </w:r>
      <w:proofErr w:type="spellStart"/>
      <w:r w:rsidR="00F224F6" w:rsidRPr="0020648A">
        <w:t>CORESETpoolindex</w:t>
      </w:r>
      <w:proofErr w:type="spellEnd"/>
      <w:r w:rsidRPr="0020648A">
        <w:t>.</w:t>
      </w:r>
      <w:bookmarkEnd w:id="10"/>
      <w:r w:rsidRPr="0020648A">
        <w:t xml:space="preserve"> </w:t>
      </w:r>
    </w:p>
    <w:p w14:paraId="7CF62CBC" w14:textId="064CAC1C" w:rsidR="00526EFD" w:rsidRPr="00526EFD" w:rsidRDefault="00526EFD" w:rsidP="00526EFD">
      <w:pPr>
        <w:ind w:left="720"/>
      </w:pPr>
    </w:p>
    <w:p w14:paraId="22E833ED" w14:textId="4537B9E5" w:rsidR="004A52BC" w:rsidRDefault="004A52BC" w:rsidP="004A52BC">
      <w:pPr>
        <w:pStyle w:val="RAN4H1"/>
      </w:pPr>
      <w:r>
        <w:t>MAC-CE based TCI state switching</w:t>
      </w:r>
    </w:p>
    <w:p w14:paraId="05E367FA" w14:textId="693A3EC3" w:rsidR="00F32A3B" w:rsidRPr="008815C3" w:rsidRDefault="00F32A3B" w:rsidP="00013353">
      <w:r w:rsidRPr="008815C3">
        <w:t>In RAN4#107 meeting, the following agreements were reached regarding MAC-CE based TCI state switch:</w:t>
      </w:r>
    </w:p>
    <w:tbl>
      <w:tblPr>
        <w:tblStyle w:val="TableGrid"/>
        <w:tblW w:w="9617" w:type="dxa"/>
        <w:tblInd w:w="-113" w:type="dxa"/>
        <w:tblLook w:val="04A0" w:firstRow="1" w:lastRow="0" w:firstColumn="1" w:lastColumn="0" w:noHBand="0" w:noVBand="1"/>
      </w:tblPr>
      <w:tblGrid>
        <w:gridCol w:w="9617"/>
      </w:tblGrid>
      <w:tr w:rsidR="000F0C33" w14:paraId="381B3AC7" w14:textId="77777777" w:rsidTr="00013353">
        <w:tc>
          <w:tcPr>
            <w:tcW w:w="9617" w:type="dxa"/>
          </w:tcPr>
          <w:p w14:paraId="2F355294" w14:textId="77777777" w:rsidR="002B6DAC" w:rsidRPr="0020648A" w:rsidRDefault="002B6DAC" w:rsidP="002B6DAC">
            <w:pPr>
              <w:spacing w:after="180"/>
              <w:jc w:val="left"/>
              <w:rPr>
                <w:rFonts w:eastAsia="Times New Roman" w:cs="Times New Roman"/>
                <w:sz w:val="18"/>
                <w:szCs w:val="18"/>
                <w:lang w:val="en-GB"/>
              </w:rPr>
            </w:pPr>
            <w:r w:rsidRPr="0020648A">
              <w:rPr>
                <w:rFonts w:eastAsia="Times New Roman" w:cs="Times New Roman"/>
                <w:b/>
                <w:bCs/>
                <w:sz w:val="18"/>
                <w:szCs w:val="18"/>
                <w:u w:val="single"/>
                <w:lang w:val="en-GB"/>
              </w:rPr>
              <w:t>Issue 2-3-1: MAC-CE based PDCCH TCI state switch for s-DCI PDCCH repetition</w:t>
            </w:r>
          </w:p>
          <w:p w14:paraId="2BADD175" w14:textId="77777777" w:rsidR="002B6DAC" w:rsidRPr="0020648A" w:rsidRDefault="002B6DAC" w:rsidP="002B6DAC">
            <w:pPr>
              <w:spacing w:after="120"/>
              <w:jc w:val="left"/>
              <w:rPr>
                <w:rFonts w:eastAsia="Times New Roman" w:cs="Times New Roman"/>
                <w:sz w:val="18"/>
                <w:szCs w:val="18"/>
              </w:rPr>
            </w:pPr>
            <w:r w:rsidRPr="0020648A">
              <w:rPr>
                <w:rFonts w:eastAsia="Times New Roman" w:cs="Times New Roman"/>
                <w:sz w:val="18"/>
                <w:szCs w:val="18"/>
              </w:rPr>
              <w:t>Agreement:</w:t>
            </w:r>
          </w:p>
          <w:p w14:paraId="4649393D" w14:textId="77777777" w:rsidR="002B6DAC" w:rsidRPr="0020648A" w:rsidRDefault="002B6DAC" w:rsidP="002B6DAC">
            <w:pPr>
              <w:numPr>
                <w:ilvl w:val="0"/>
                <w:numId w:val="22"/>
              </w:numPr>
              <w:spacing w:after="120"/>
              <w:jc w:val="left"/>
              <w:textAlignment w:val="center"/>
              <w:rPr>
                <w:rFonts w:ascii="Calibri" w:eastAsia="Times New Roman" w:hAnsi="Calibri" w:cs="Calibri"/>
                <w:szCs w:val="20"/>
              </w:rPr>
            </w:pPr>
            <w:r w:rsidRPr="0020648A">
              <w:rPr>
                <w:rFonts w:eastAsia="Times New Roman" w:cs="Times New Roman"/>
                <w:sz w:val="18"/>
                <w:szCs w:val="18"/>
              </w:rPr>
              <w:t>For MAC-CE based PDCCH TCI state switch for s-DCI PDCCH repetition [where two MAC-CEs are received in one slot], the legacy delay requirements apply if following conditions are met.</w:t>
            </w:r>
          </w:p>
          <w:p w14:paraId="0225BACC" w14:textId="77777777" w:rsidR="002B6DAC" w:rsidRPr="0020648A" w:rsidRDefault="002B6DAC" w:rsidP="002B6DAC">
            <w:pPr>
              <w:numPr>
                <w:ilvl w:val="1"/>
                <w:numId w:val="22"/>
              </w:numPr>
              <w:spacing w:after="120"/>
              <w:jc w:val="left"/>
              <w:textAlignment w:val="center"/>
              <w:rPr>
                <w:rFonts w:ascii="Calibri" w:eastAsia="Times New Roman" w:hAnsi="Calibri" w:cs="Calibri"/>
                <w:szCs w:val="20"/>
              </w:rPr>
            </w:pPr>
            <w:r w:rsidRPr="0020648A">
              <w:rPr>
                <w:rFonts w:eastAsia="Times New Roman" w:cs="Times New Roman"/>
                <w:sz w:val="18"/>
                <w:szCs w:val="18"/>
              </w:rPr>
              <w:t xml:space="preserve">Target dual TCI states are in the active TCI state list; or </w:t>
            </w:r>
          </w:p>
          <w:p w14:paraId="7C7BCB38" w14:textId="77777777" w:rsidR="002B6DAC" w:rsidRPr="0020648A" w:rsidRDefault="002B6DAC" w:rsidP="002B6DAC">
            <w:pPr>
              <w:numPr>
                <w:ilvl w:val="1"/>
                <w:numId w:val="22"/>
              </w:numPr>
              <w:spacing w:after="120"/>
              <w:jc w:val="left"/>
              <w:textAlignment w:val="center"/>
              <w:rPr>
                <w:rFonts w:ascii="Calibri" w:eastAsia="Times New Roman" w:hAnsi="Calibri" w:cs="Calibri"/>
                <w:szCs w:val="20"/>
              </w:rPr>
            </w:pPr>
            <w:r w:rsidRPr="0020648A">
              <w:rPr>
                <w:rFonts w:eastAsia="Times New Roman" w:cs="Times New Roman"/>
                <w:sz w:val="18"/>
                <w:szCs w:val="18"/>
              </w:rPr>
              <w:t>If target dual TCI states are NOT in the active TCI state list and [</w:t>
            </w:r>
            <w:proofErr w:type="spellStart"/>
            <w:r w:rsidRPr="0020648A">
              <w:rPr>
                <w:rFonts w:eastAsia="Times New Roman" w:cs="Times New Roman"/>
                <w:sz w:val="18"/>
                <w:szCs w:val="18"/>
              </w:rPr>
              <w:t>T</w:t>
            </w:r>
            <w:r w:rsidRPr="0020648A">
              <w:rPr>
                <w:rFonts w:eastAsia="Times New Roman" w:cs="Times New Roman"/>
                <w:sz w:val="18"/>
                <w:szCs w:val="18"/>
                <w:vertAlign w:val="subscript"/>
              </w:rPr>
              <w:t>first_SSB</w:t>
            </w:r>
            <w:proofErr w:type="spellEnd"/>
            <w:r w:rsidRPr="0020648A">
              <w:rPr>
                <w:rFonts w:eastAsia="Times New Roman" w:cs="Times New Roman"/>
                <w:sz w:val="18"/>
                <w:szCs w:val="18"/>
              </w:rPr>
              <w:t xml:space="preserve">] is longer than [125]us, where </w:t>
            </w:r>
            <w:proofErr w:type="spellStart"/>
            <w:r w:rsidRPr="0020648A">
              <w:rPr>
                <w:rFonts w:eastAsia="Times New Roman" w:cs="Times New Roman"/>
                <w:sz w:val="18"/>
                <w:szCs w:val="18"/>
              </w:rPr>
              <w:t>T</w:t>
            </w:r>
            <w:r w:rsidRPr="0020648A">
              <w:rPr>
                <w:rFonts w:eastAsia="Times New Roman" w:cs="Times New Roman"/>
                <w:sz w:val="18"/>
                <w:szCs w:val="18"/>
                <w:vertAlign w:val="subscript"/>
              </w:rPr>
              <w:t>first_SSB</w:t>
            </w:r>
            <w:proofErr w:type="spellEnd"/>
            <w:r w:rsidRPr="0020648A">
              <w:rPr>
                <w:rFonts w:eastAsia="Times New Roman" w:cs="Times New Roman"/>
                <w:sz w:val="18"/>
                <w:szCs w:val="18"/>
              </w:rPr>
              <w:t xml:space="preserve"> is the shorter one between T</w:t>
            </w:r>
            <w:r w:rsidRPr="0020648A">
              <w:rPr>
                <w:rFonts w:eastAsia="Times New Roman" w:cs="Times New Roman"/>
                <w:sz w:val="18"/>
                <w:szCs w:val="18"/>
                <w:vertAlign w:val="subscript"/>
              </w:rPr>
              <w:t>first-SSB1</w:t>
            </w:r>
            <w:r w:rsidRPr="0020648A">
              <w:rPr>
                <w:rFonts w:eastAsia="Times New Roman" w:cs="Times New Roman"/>
                <w:sz w:val="18"/>
                <w:szCs w:val="18"/>
              </w:rPr>
              <w:t xml:space="preserve"> and T</w:t>
            </w:r>
            <w:r w:rsidRPr="0020648A">
              <w:rPr>
                <w:rFonts w:eastAsia="Times New Roman" w:cs="Times New Roman"/>
                <w:sz w:val="18"/>
                <w:szCs w:val="18"/>
                <w:vertAlign w:val="subscript"/>
              </w:rPr>
              <w:t>first_SSB2</w:t>
            </w:r>
            <w:r w:rsidRPr="0020648A">
              <w:rPr>
                <w:rFonts w:eastAsia="Times New Roman" w:cs="Times New Roman"/>
                <w:sz w:val="18"/>
                <w:szCs w:val="18"/>
              </w:rPr>
              <w:t xml:space="preserve">. </w:t>
            </w:r>
          </w:p>
          <w:p w14:paraId="34301C82" w14:textId="77777777" w:rsidR="002B6DAC" w:rsidRPr="0020648A" w:rsidRDefault="002B6DAC" w:rsidP="002B6DAC">
            <w:pPr>
              <w:numPr>
                <w:ilvl w:val="2"/>
                <w:numId w:val="22"/>
              </w:numPr>
              <w:spacing w:after="120"/>
              <w:jc w:val="left"/>
              <w:textAlignment w:val="center"/>
              <w:rPr>
                <w:rFonts w:ascii="Calibri" w:eastAsia="Times New Roman" w:hAnsi="Calibri" w:cs="Calibri"/>
                <w:szCs w:val="20"/>
              </w:rPr>
            </w:pPr>
            <w:r w:rsidRPr="0020648A">
              <w:rPr>
                <w:rFonts w:eastAsia="Times New Roman" w:cs="Times New Roman"/>
                <w:sz w:val="18"/>
                <w:szCs w:val="18"/>
              </w:rPr>
              <w:t>FFS if requirements should be defined for the case.</w:t>
            </w:r>
          </w:p>
          <w:p w14:paraId="34C266B1" w14:textId="77777777" w:rsidR="002B6DAC" w:rsidRPr="0020648A" w:rsidRDefault="002B6DAC" w:rsidP="002B6DAC">
            <w:pPr>
              <w:numPr>
                <w:ilvl w:val="0"/>
                <w:numId w:val="22"/>
              </w:numPr>
              <w:spacing w:after="120"/>
              <w:jc w:val="left"/>
              <w:textAlignment w:val="center"/>
              <w:rPr>
                <w:rFonts w:ascii="Calibri" w:eastAsia="Times New Roman" w:hAnsi="Calibri" w:cs="Calibri"/>
                <w:szCs w:val="20"/>
              </w:rPr>
            </w:pPr>
            <w:r w:rsidRPr="0020648A">
              <w:rPr>
                <w:rFonts w:eastAsia="Times New Roman" w:cs="Times New Roman"/>
                <w:sz w:val="18"/>
                <w:szCs w:val="18"/>
              </w:rPr>
              <w:t xml:space="preserve">Otherwise, [125] µs additional delay is </w:t>
            </w:r>
            <w:proofErr w:type="gramStart"/>
            <w:r w:rsidRPr="0020648A">
              <w:rPr>
                <w:rFonts w:eastAsia="Times New Roman" w:cs="Times New Roman"/>
                <w:sz w:val="18"/>
                <w:szCs w:val="18"/>
              </w:rPr>
              <w:t>considered</w:t>
            </w:r>
            <w:proofErr w:type="gramEnd"/>
          </w:p>
          <w:p w14:paraId="7D76229F" w14:textId="77777777" w:rsidR="000F0C33" w:rsidRDefault="000F0C33" w:rsidP="000F0C33">
            <w:pPr>
              <w:rPr>
                <w:lang w:val="en-GB"/>
              </w:rPr>
            </w:pPr>
          </w:p>
        </w:tc>
      </w:tr>
    </w:tbl>
    <w:p w14:paraId="106A8A00" w14:textId="77777777" w:rsidR="000F0C33" w:rsidRPr="008815C3" w:rsidRDefault="000F0C33" w:rsidP="00013353">
      <w:pPr>
        <w:rPr>
          <w:rFonts w:ascii="Tahoma" w:hAnsi="Tahoma" w:cs="Tahoma"/>
          <w:szCs w:val="20"/>
        </w:rPr>
      </w:pPr>
    </w:p>
    <w:p w14:paraId="0943227F" w14:textId="2BB62052" w:rsidR="004A52BC" w:rsidRPr="008815C3" w:rsidRDefault="004A52BC" w:rsidP="008E66FD">
      <w:r w:rsidRPr="008815C3">
        <w:t>In single</w:t>
      </w:r>
      <w:r w:rsidR="008E6FBA" w:rsidRPr="008815C3">
        <w:t>-</w:t>
      </w:r>
      <w:r w:rsidRPr="008815C3">
        <w:t xml:space="preserve">DCI </w:t>
      </w:r>
      <w:r w:rsidR="00354CBF" w:rsidRPr="008815C3">
        <w:t xml:space="preserve">PDCCH repetition scenario, since the UE receives </w:t>
      </w:r>
      <w:r w:rsidR="00E95D3B" w:rsidRPr="008815C3">
        <w:t>two</w:t>
      </w:r>
      <w:r w:rsidR="00354CBF" w:rsidRPr="008815C3">
        <w:t xml:space="preserve"> MAC-CEs indicating the TCI state for </w:t>
      </w:r>
      <w:r w:rsidR="00CA0A5C" w:rsidRPr="008815C3">
        <w:t xml:space="preserve">each </w:t>
      </w:r>
      <w:r w:rsidR="00354CBF" w:rsidRPr="008815C3">
        <w:t xml:space="preserve">PDCCH, the legacy </w:t>
      </w:r>
      <w:r w:rsidR="006E1E8E" w:rsidRPr="008815C3">
        <w:t>requirements for MAC-CE based TCI state switch for PDCCH apply.</w:t>
      </w:r>
      <w:r w:rsidR="007E25BA" w:rsidRPr="008815C3">
        <w:t xml:space="preserve"> It has been proposed to </w:t>
      </w:r>
      <w:r w:rsidR="00EE5CC2" w:rsidRPr="008815C3">
        <w:t xml:space="preserve">add an additional delay of </w:t>
      </w:r>
      <w:r w:rsidR="008B54D1" w:rsidRPr="008815C3">
        <w:t>125</w:t>
      </w:r>
      <w:r w:rsidR="00EE5CC2" w:rsidRPr="008815C3">
        <w:t xml:space="preserve">µs for the s-DCI PDCCH repetition scenario. However, </w:t>
      </w:r>
      <w:r w:rsidR="00522AEF" w:rsidRPr="008815C3">
        <w:t>we do</w:t>
      </w:r>
      <w:r w:rsidR="005720F6" w:rsidRPr="008815C3">
        <w:t xml:space="preserve"> </w:t>
      </w:r>
      <w:r w:rsidR="00522AEF" w:rsidRPr="008815C3">
        <w:t>not see the justification to add this delay</w:t>
      </w:r>
      <w:r w:rsidR="00DC6F6F" w:rsidRPr="008815C3">
        <w:t xml:space="preserve"> since the UE can </w:t>
      </w:r>
      <w:r w:rsidR="006F4791" w:rsidRPr="008815C3">
        <w:t xml:space="preserve">receive </w:t>
      </w:r>
      <w:r w:rsidR="0063047B" w:rsidRPr="008815C3">
        <w:t>and process them independently.</w:t>
      </w:r>
      <w:r w:rsidR="00B72994" w:rsidRPr="008815C3">
        <w:t xml:space="preserve"> </w:t>
      </w:r>
    </w:p>
    <w:p w14:paraId="516653AE" w14:textId="3532FE39" w:rsidR="00E2141A" w:rsidRPr="0020648A" w:rsidRDefault="00E2141A" w:rsidP="008E66FD">
      <w:pPr>
        <w:pStyle w:val="RAN4proposal"/>
        <w:ind w:left="720"/>
      </w:pPr>
      <w:bookmarkStart w:id="11" w:name="_Toc146740403"/>
      <w:r w:rsidRPr="0020648A">
        <w:t>In s-DCI PDCCH repetition, legacy requirements for MAC-CE based TCI state switch for PDCCH apply per TRP</w:t>
      </w:r>
      <w:r w:rsidR="00EB48BB" w:rsidRPr="0020648A">
        <w:t xml:space="preserve"> without any additional delay.</w:t>
      </w:r>
      <w:bookmarkEnd w:id="11"/>
    </w:p>
    <w:p w14:paraId="39C42913" w14:textId="77777777" w:rsidR="006E1E8E" w:rsidRPr="002B6DAC" w:rsidRDefault="006E1E8E" w:rsidP="006E1E8E">
      <w:pPr>
        <w:pStyle w:val="RAN4proposal"/>
        <w:numPr>
          <w:ilvl w:val="0"/>
          <w:numId w:val="0"/>
        </w:numPr>
        <w:ind w:left="720"/>
        <w:rPr>
          <w:rStyle w:val="eop"/>
          <w:color w:val="FF0000"/>
        </w:rPr>
      </w:pPr>
    </w:p>
    <w:p w14:paraId="507DBEEE" w14:textId="77777777" w:rsidR="006E7008" w:rsidRDefault="006E7008" w:rsidP="006E7008"/>
    <w:p w14:paraId="3CD7A203" w14:textId="369BB669" w:rsidR="004A52BC" w:rsidRDefault="004A52BC" w:rsidP="004A52BC">
      <w:pPr>
        <w:pStyle w:val="RAN4H1"/>
      </w:pPr>
      <w:r>
        <w:lastRenderedPageBreak/>
        <w:t>Active TCI state list update</w:t>
      </w:r>
    </w:p>
    <w:p w14:paraId="376F2941" w14:textId="09F70353" w:rsidR="004A52BC" w:rsidRPr="008815C3" w:rsidRDefault="004A52BC" w:rsidP="00AB6496">
      <w:pPr>
        <w:ind w:left="360"/>
        <w:rPr>
          <w:color w:val="FF0000"/>
          <w:sz w:val="18"/>
          <w:lang w:val="en-GB"/>
        </w:rPr>
      </w:pPr>
      <w:r w:rsidRPr="008815C3">
        <w:t>In RAN4#</w:t>
      </w:r>
      <w:r w:rsidR="000F0C33" w:rsidRPr="008815C3">
        <w:t>10</w:t>
      </w:r>
      <w:r w:rsidR="007A0447" w:rsidRPr="008815C3">
        <w:t>8</w:t>
      </w:r>
      <w:r w:rsidRPr="008815C3">
        <w:t xml:space="preserve"> meeting, the following was agreed about active TCI state list update:</w:t>
      </w:r>
    </w:p>
    <w:tbl>
      <w:tblPr>
        <w:tblStyle w:val="TableGrid"/>
        <w:tblW w:w="9617" w:type="dxa"/>
        <w:tblInd w:w="607" w:type="dxa"/>
        <w:tblLook w:val="04A0" w:firstRow="1" w:lastRow="0" w:firstColumn="1" w:lastColumn="0" w:noHBand="0" w:noVBand="1"/>
      </w:tblPr>
      <w:tblGrid>
        <w:gridCol w:w="9617"/>
      </w:tblGrid>
      <w:tr w:rsidR="004A52BC" w14:paraId="0CF6ED85" w14:textId="77777777" w:rsidTr="006E660B">
        <w:tc>
          <w:tcPr>
            <w:tcW w:w="9617" w:type="dxa"/>
          </w:tcPr>
          <w:p w14:paraId="68BDF27B" w14:textId="77777777" w:rsidR="002B6DAC" w:rsidRPr="002B6DAC" w:rsidRDefault="002B6DAC" w:rsidP="002B6DAC">
            <w:pPr>
              <w:spacing w:after="180"/>
              <w:jc w:val="left"/>
              <w:rPr>
                <w:rFonts w:eastAsia="Times New Roman" w:cs="Times New Roman"/>
                <w:szCs w:val="20"/>
                <w:lang w:val="en-GB"/>
              </w:rPr>
            </w:pPr>
            <w:r w:rsidRPr="002B6DAC">
              <w:rPr>
                <w:rFonts w:eastAsia="Times New Roman" w:cs="Times New Roman"/>
                <w:b/>
                <w:bCs/>
                <w:szCs w:val="20"/>
                <w:u w:val="single"/>
                <w:lang w:val="en-GB"/>
              </w:rPr>
              <w:t>Issue 2-6-1: Active TCI state list update Active TCI state list update delay requirement</w:t>
            </w:r>
          </w:p>
          <w:p w14:paraId="5A0C35D1" w14:textId="77777777" w:rsidR="002B6DAC" w:rsidRPr="002B6DAC" w:rsidRDefault="002B6DAC" w:rsidP="002B6DAC">
            <w:pPr>
              <w:spacing w:after="120"/>
              <w:jc w:val="left"/>
              <w:rPr>
                <w:rFonts w:eastAsia="Times New Roman" w:cs="Times New Roman"/>
                <w:szCs w:val="20"/>
              </w:rPr>
            </w:pPr>
            <w:r w:rsidRPr="002B6DAC">
              <w:rPr>
                <w:rFonts w:eastAsia="Times New Roman" w:cs="Times New Roman"/>
                <w:szCs w:val="20"/>
              </w:rPr>
              <w:t>Agreement:</w:t>
            </w:r>
          </w:p>
          <w:p w14:paraId="21798AAA" w14:textId="77777777" w:rsidR="002B6DAC" w:rsidRPr="002B6DAC" w:rsidRDefault="002B6DAC" w:rsidP="002B6DAC">
            <w:pPr>
              <w:numPr>
                <w:ilvl w:val="0"/>
                <w:numId w:val="24"/>
              </w:numPr>
              <w:spacing w:after="120"/>
              <w:jc w:val="left"/>
              <w:textAlignment w:val="center"/>
              <w:rPr>
                <w:rFonts w:ascii="Calibri" w:eastAsia="Times New Roman" w:hAnsi="Calibri" w:cs="Calibri"/>
                <w:sz w:val="22"/>
              </w:rPr>
            </w:pPr>
            <w:r w:rsidRPr="002B6DAC">
              <w:rPr>
                <w:rFonts w:eastAsia="Times New Roman" w:cs="Times New Roman"/>
                <w:szCs w:val="20"/>
              </w:rPr>
              <w:t xml:space="preserve">For s-DCI case, </w:t>
            </w:r>
          </w:p>
          <w:p w14:paraId="4EC95946" w14:textId="77777777" w:rsidR="002B6DAC" w:rsidRPr="002B6DAC" w:rsidRDefault="002B6DAC" w:rsidP="002B6DAC">
            <w:pPr>
              <w:numPr>
                <w:ilvl w:val="1"/>
                <w:numId w:val="24"/>
              </w:numPr>
              <w:spacing w:after="120"/>
              <w:jc w:val="left"/>
              <w:textAlignment w:val="center"/>
              <w:rPr>
                <w:rFonts w:ascii="Calibri" w:eastAsia="Times New Roman" w:hAnsi="Calibri" w:cs="Calibri"/>
                <w:sz w:val="22"/>
              </w:rPr>
            </w:pPr>
            <w:r w:rsidRPr="002B6DAC">
              <w:rPr>
                <w:rFonts w:eastAsia="Times New Roman" w:cs="Times New Roman"/>
                <w:szCs w:val="20"/>
              </w:rPr>
              <w:t>The existing requirement for active TCI state list update can be reused with the update to T/F tracking.</w:t>
            </w:r>
          </w:p>
          <w:p w14:paraId="1D72B124" w14:textId="77777777" w:rsidR="002B6DAC" w:rsidRPr="00FA6A10" w:rsidRDefault="002B6DAC" w:rsidP="002B6DAC">
            <w:pPr>
              <w:numPr>
                <w:ilvl w:val="0"/>
                <w:numId w:val="24"/>
              </w:numPr>
              <w:spacing w:after="120"/>
              <w:jc w:val="left"/>
              <w:textAlignment w:val="center"/>
              <w:rPr>
                <w:rFonts w:ascii="Calibri" w:eastAsia="Times New Roman" w:hAnsi="Calibri" w:cs="Calibri"/>
                <w:sz w:val="22"/>
              </w:rPr>
            </w:pPr>
            <w:r w:rsidRPr="00FA6A10">
              <w:rPr>
                <w:rFonts w:eastAsia="Times New Roman" w:cs="Times New Roman"/>
                <w:szCs w:val="20"/>
              </w:rPr>
              <w:t xml:space="preserve">For m-DCI case, </w:t>
            </w:r>
          </w:p>
          <w:p w14:paraId="54027C55" w14:textId="77777777" w:rsidR="002B6DAC" w:rsidRPr="00FA6A10" w:rsidRDefault="002B6DAC" w:rsidP="002B6DAC">
            <w:pPr>
              <w:numPr>
                <w:ilvl w:val="1"/>
                <w:numId w:val="24"/>
              </w:numPr>
              <w:spacing w:after="120"/>
              <w:jc w:val="left"/>
              <w:textAlignment w:val="center"/>
              <w:rPr>
                <w:rFonts w:ascii="Calibri" w:eastAsia="Times New Roman" w:hAnsi="Calibri" w:cs="Calibri"/>
                <w:sz w:val="22"/>
              </w:rPr>
            </w:pPr>
            <w:r w:rsidRPr="00FA6A10">
              <w:rPr>
                <w:rFonts w:eastAsia="Times New Roman" w:cs="Times New Roman"/>
                <w:szCs w:val="20"/>
              </w:rPr>
              <w:t>FFS: The existing requirement for active TCI state list update can be reused with the update that it is for each TRP.</w:t>
            </w:r>
          </w:p>
          <w:p w14:paraId="21AE4F3A" w14:textId="77777777" w:rsidR="004A52BC" w:rsidRDefault="004A52BC" w:rsidP="00E81B36">
            <w:pPr>
              <w:rPr>
                <w:lang w:val="en-GB"/>
              </w:rPr>
            </w:pPr>
          </w:p>
          <w:p w14:paraId="2AAC5738" w14:textId="2EFEBB31" w:rsidR="00CF5E6F" w:rsidRPr="00267FDA" w:rsidRDefault="00CF5E6F" w:rsidP="0065164C">
            <w:pPr>
              <w:spacing w:after="180"/>
              <w:jc w:val="left"/>
              <w:rPr>
                <w:rFonts w:eastAsia="Times New Roman" w:cs="Times New Roman"/>
                <w:szCs w:val="20"/>
                <w:lang w:val="en-GB"/>
              </w:rPr>
            </w:pPr>
            <w:r w:rsidRPr="00267FDA">
              <w:rPr>
                <w:rFonts w:eastAsia="Times New Roman" w:cs="Times New Roman"/>
                <w:b/>
                <w:bCs/>
                <w:szCs w:val="20"/>
                <w:u w:val="single"/>
                <w:lang w:val="en-GB"/>
              </w:rPr>
              <w:t>Other proposals:</w:t>
            </w:r>
          </w:p>
          <w:p w14:paraId="309ABFDC" w14:textId="77777777" w:rsidR="00CF5E6F" w:rsidRPr="00267FDA" w:rsidRDefault="00CF5E6F" w:rsidP="00CF5E6F">
            <w:pPr>
              <w:numPr>
                <w:ilvl w:val="0"/>
                <w:numId w:val="26"/>
              </w:numPr>
              <w:spacing w:after="120"/>
              <w:jc w:val="left"/>
              <w:textAlignment w:val="center"/>
              <w:rPr>
                <w:rFonts w:ascii="Calibri" w:eastAsia="Times New Roman" w:hAnsi="Calibri" w:cs="Calibri"/>
                <w:sz w:val="22"/>
              </w:rPr>
            </w:pPr>
            <w:r w:rsidRPr="00267FDA">
              <w:rPr>
                <w:rFonts w:eastAsia="Times New Roman" w:cs="Times New Roman"/>
                <w:szCs w:val="20"/>
              </w:rPr>
              <w:t xml:space="preserve">Proposal 1: </w:t>
            </w:r>
            <w:proofErr w:type="spellStart"/>
            <w:r w:rsidRPr="00267FDA">
              <w:rPr>
                <w:rFonts w:eastAsia="Times New Roman" w:cs="Times New Roman"/>
                <w:szCs w:val="20"/>
              </w:rPr>
              <w:t>Tfirst</w:t>
            </w:r>
            <w:proofErr w:type="spellEnd"/>
            <w:r w:rsidRPr="00267FDA">
              <w:rPr>
                <w:rFonts w:eastAsia="Times New Roman" w:cs="Times New Roman"/>
                <w:szCs w:val="20"/>
              </w:rPr>
              <w:t>-SSB is not included in the active TCI state list update delay for a target TCI state that is already in the active TCI state list.</w:t>
            </w:r>
          </w:p>
          <w:p w14:paraId="3BBF1D75" w14:textId="77777777" w:rsidR="00CF5E6F" w:rsidRPr="00267FDA" w:rsidRDefault="00CF5E6F" w:rsidP="00CF5E6F">
            <w:pPr>
              <w:numPr>
                <w:ilvl w:val="0"/>
                <w:numId w:val="26"/>
              </w:numPr>
              <w:spacing w:after="120"/>
              <w:jc w:val="left"/>
              <w:textAlignment w:val="center"/>
              <w:rPr>
                <w:rFonts w:ascii="Calibri" w:eastAsia="Times New Roman" w:hAnsi="Calibri" w:cs="Calibri"/>
                <w:sz w:val="22"/>
              </w:rPr>
            </w:pPr>
            <w:r w:rsidRPr="00267FDA">
              <w:rPr>
                <w:rFonts w:eastAsia="Times New Roman" w:cs="Times New Roman"/>
                <w:szCs w:val="20"/>
              </w:rPr>
              <w:t xml:space="preserve">Proposal 2: If the reference signals of the TCI states received in the MAC-CE for TCI state activation has QCL relation with the reference signal of the TCI state which is already a part of the active TCI state, the UE can skip synchronization for that TCI </w:t>
            </w:r>
            <w:proofErr w:type="gramStart"/>
            <w:r w:rsidRPr="00267FDA">
              <w:rPr>
                <w:rFonts w:eastAsia="Times New Roman" w:cs="Times New Roman"/>
                <w:szCs w:val="20"/>
              </w:rPr>
              <w:t>state</w:t>
            </w:r>
            <w:proofErr w:type="gramEnd"/>
          </w:p>
          <w:p w14:paraId="2DD9F6BC" w14:textId="77777777" w:rsidR="00CF5E6F" w:rsidRPr="00267FDA" w:rsidRDefault="00CF5E6F" w:rsidP="00CF5E6F">
            <w:pPr>
              <w:numPr>
                <w:ilvl w:val="0"/>
                <w:numId w:val="27"/>
              </w:numPr>
              <w:spacing w:after="120"/>
              <w:jc w:val="left"/>
              <w:textAlignment w:val="center"/>
              <w:rPr>
                <w:rFonts w:ascii="Calibri" w:eastAsia="Times New Roman" w:hAnsi="Calibri" w:cs="Calibri"/>
                <w:sz w:val="22"/>
              </w:rPr>
            </w:pPr>
            <w:r w:rsidRPr="00267FDA">
              <w:rPr>
                <w:rFonts w:eastAsia="Times New Roman" w:cs="Times New Roman"/>
                <w:szCs w:val="20"/>
              </w:rPr>
              <w:t>Recommended WF</w:t>
            </w:r>
          </w:p>
          <w:p w14:paraId="1DDB4CFC" w14:textId="77777777" w:rsidR="00CF5E6F" w:rsidRPr="00267FDA" w:rsidRDefault="00CF5E6F" w:rsidP="00CF5E6F">
            <w:pPr>
              <w:numPr>
                <w:ilvl w:val="1"/>
                <w:numId w:val="27"/>
              </w:numPr>
              <w:spacing w:after="120"/>
              <w:jc w:val="left"/>
              <w:textAlignment w:val="center"/>
              <w:rPr>
                <w:rFonts w:ascii="Calibri" w:eastAsia="Times New Roman" w:hAnsi="Calibri" w:cs="Calibri"/>
                <w:sz w:val="22"/>
              </w:rPr>
            </w:pPr>
            <w:r w:rsidRPr="00267FDA">
              <w:rPr>
                <w:rFonts w:eastAsia="Times New Roman" w:cs="Times New Roman"/>
                <w:szCs w:val="20"/>
              </w:rPr>
              <w:t xml:space="preserve">Companies may bring further analysis to next meeting.  </w:t>
            </w:r>
          </w:p>
          <w:p w14:paraId="662AA488" w14:textId="77777777" w:rsidR="002B6DAC" w:rsidRDefault="002B6DAC" w:rsidP="00CF5E6F">
            <w:pPr>
              <w:spacing w:after="120"/>
              <w:jc w:val="left"/>
              <w:textAlignment w:val="center"/>
              <w:rPr>
                <w:lang w:val="en-GB"/>
              </w:rPr>
            </w:pPr>
          </w:p>
        </w:tc>
      </w:tr>
    </w:tbl>
    <w:p w14:paraId="7802C14F" w14:textId="3459A794" w:rsidR="004A52BC" w:rsidRDefault="004A52BC" w:rsidP="00CD774B">
      <w:pPr>
        <w:rPr>
          <w:lang w:val="en-GB"/>
        </w:rPr>
      </w:pPr>
    </w:p>
    <w:p w14:paraId="247973D1" w14:textId="102FCF88" w:rsidR="00FB0712" w:rsidRPr="008815C3" w:rsidRDefault="00A12080" w:rsidP="0051106A">
      <w:pPr>
        <w:ind w:left="720"/>
      </w:pPr>
      <w:r w:rsidRPr="008815C3">
        <w:t xml:space="preserve">A MAC-CE command is used to update the active TCI state list both for s-DCI as well as m-DCI. In case of </w:t>
      </w:r>
      <w:r w:rsidR="00C00823" w:rsidRPr="008815C3">
        <w:t>s</w:t>
      </w:r>
      <w:r w:rsidRPr="008815C3">
        <w:t xml:space="preserve">-DCI, the UE can have </w:t>
      </w:r>
      <w:r w:rsidR="00CF4D5C" w:rsidRPr="008815C3">
        <w:t>up to</w:t>
      </w:r>
      <w:r w:rsidRPr="008815C3">
        <w:t xml:space="preserve"> </w:t>
      </w:r>
      <w:r w:rsidR="001630D1" w:rsidRPr="008815C3">
        <w:t xml:space="preserve">8 </w:t>
      </w:r>
      <w:r w:rsidR="00CF4D5C" w:rsidRPr="008815C3">
        <w:t xml:space="preserve">codepoints with </w:t>
      </w:r>
      <w:r w:rsidR="002F43D9" w:rsidRPr="008815C3">
        <w:t xml:space="preserve">combinations of one or two </w:t>
      </w:r>
      <w:r w:rsidR="00CA5E25" w:rsidRPr="008815C3">
        <w:t xml:space="preserve">TCI states whereas in case of m-DCI the UE will have two separate codepoint tables with </w:t>
      </w:r>
      <w:r w:rsidR="00CF4D5C" w:rsidRPr="008815C3">
        <w:t>up to</w:t>
      </w:r>
      <w:r w:rsidR="009E50F5" w:rsidRPr="008815C3">
        <w:t xml:space="preserve"> 8 TCI states </w:t>
      </w:r>
      <w:r w:rsidR="009229E1" w:rsidRPr="008815C3">
        <w:t>each.</w:t>
      </w:r>
    </w:p>
    <w:p w14:paraId="0EF1F179" w14:textId="77777777" w:rsidR="006E1639" w:rsidRPr="008815C3" w:rsidRDefault="006E1639" w:rsidP="0051106A">
      <w:pPr>
        <w:ind w:left="720"/>
      </w:pPr>
      <w:r w:rsidRPr="008815C3">
        <w:t>For multi-DCI scenario, separate active TCI state lists are maintained for each TRP. Therefore, TCI state list contains only single TCI states and dual TCI states do not need to be considered. Hence, active TCI state update to dual TCI states does not apply to multi-DCI scenario.</w:t>
      </w:r>
    </w:p>
    <w:p w14:paraId="72C96531" w14:textId="054C2952" w:rsidR="006E1639" w:rsidRPr="0020648A" w:rsidRDefault="006E1639" w:rsidP="00825EA2">
      <w:pPr>
        <w:pStyle w:val="RAN4observation0"/>
        <w:ind w:left="720"/>
        <w:rPr>
          <w:iCs/>
        </w:rPr>
      </w:pPr>
      <w:bookmarkStart w:id="12" w:name="_Toc146740404"/>
      <w:r w:rsidRPr="0020648A">
        <w:t>In a multi-DCI scenario, active TCI state list update to dual TCI states is not considered</w:t>
      </w:r>
      <w:r w:rsidR="00DF0CF0" w:rsidRPr="0020648A">
        <w:t xml:space="preserve"> when the MAC-CE contains more than 1 TCI state.</w:t>
      </w:r>
      <w:bookmarkEnd w:id="12"/>
    </w:p>
    <w:p w14:paraId="7D0C8F57" w14:textId="7A6FF3A3" w:rsidR="00947041" w:rsidRPr="008815C3" w:rsidRDefault="00CD49F5" w:rsidP="0051106A">
      <w:pPr>
        <w:ind w:left="720"/>
      </w:pPr>
      <w:r w:rsidRPr="008815C3">
        <w:t xml:space="preserve">It was </w:t>
      </w:r>
      <w:r w:rsidR="00A5702A">
        <w:t>commented</w:t>
      </w:r>
      <w:r w:rsidRPr="008815C3">
        <w:t xml:space="preserve"> in RAN</w:t>
      </w:r>
      <w:r w:rsidR="007A0447" w:rsidRPr="008815C3">
        <w:t>4</w:t>
      </w:r>
      <w:r w:rsidRPr="008815C3">
        <w:t xml:space="preserve">#108 that there can </w:t>
      </w:r>
      <w:r w:rsidR="00E64C63" w:rsidRPr="008815C3">
        <w:t xml:space="preserve">be </w:t>
      </w:r>
      <w:r w:rsidRPr="008815C3">
        <w:t xml:space="preserve">a scenario where </w:t>
      </w:r>
      <w:r w:rsidR="00347BE0" w:rsidRPr="008815C3">
        <w:t>the MAC-CE for TCI activation has only one TCI state. In this case</w:t>
      </w:r>
      <w:r w:rsidR="00E64C63" w:rsidRPr="008815C3">
        <w:t xml:space="preserve">, the TCI can be </w:t>
      </w:r>
      <w:r w:rsidR="008664D8" w:rsidRPr="008815C3">
        <w:t xml:space="preserve">used for PDSCH without a DCI indication. </w:t>
      </w:r>
      <w:r w:rsidR="00151ED2" w:rsidRPr="008815C3">
        <w:t xml:space="preserve">In such </w:t>
      </w:r>
      <w:r w:rsidR="00B872B6" w:rsidRPr="008815C3">
        <w:t>scenarios</w:t>
      </w:r>
      <w:r w:rsidR="00151ED2" w:rsidRPr="008815C3">
        <w:t xml:space="preserve">, like in </w:t>
      </w:r>
      <w:r w:rsidR="001741C9" w:rsidRPr="008815C3">
        <w:t>DCI based TCI state switching (</w:t>
      </w:r>
      <w:r w:rsidR="001741C9" w:rsidRPr="008815C3">
        <w:fldChar w:fldCharType="begin"/>
      </w:r>
      <w:r w:rsidR="001741C9" w:rsidRPr="008815C3">
        <w:instrText xml:space="preserve"> PAGEREF _Ref145075017 \h </w:instrText>
      </w:r>
      <w:r w:rsidR="001741C9" w:rsidRPr="008815C3">
        <w:fldChar w:fldCharType="separate"/>
      </w:r>
      <w:r w:rsidR="001741C9" w:rsidRPr="008815C3">
        <w:t>2</w:t>
      </w:r>
      <w:r w:rsidR="001741C9" w:rsidRPr="008815C3">
        <w:fldChar w:fldCharType="end"/>
      </w:r>
      <w:r w:rsidR="001741C9" w:rsidRPr="008815C3">
        <w:t>)</w:t>
      </w:r>
      <w:r w:rsidR="00F95FBE" w:rsidRPr="008815C3">
        <w:t xml:space="preserve">, </w:t>
      </w:r>
      <w:r w:rsidR="00F22127" w:rsidRPr="008815C3">
        <w:t>i</w:t>
      </w:r>
      <w:r w:rsidR="00B872B6" w:rsidRPr="008815C3">
        <w:t>f</w:t>
      </w:r>
      <w:r w:rsidR="00F22127" w:rsidRPr="008815C3">
        <w:t xml:space="preserve"> the TCI states cannot be received simultaneously, </w:t>
      </w:r>
      <w:r w:rsidR="00F95FBE" w:rsidRPr="008815C3">
        <w:t>the UE can rec</w:t>
      </w:r>
      <w:r w:rsidR="00631C72" w:rsidRPr="008815C3">
        <w:t xml:space="preserve">eive in a TDM manner </w:t>
      </w:r>
      <w:r w:rsidR="00F22127" w:rsidRPr="008815C3">
        <w:t xml:space="preserve">during the interim period when the </w:t>
      </w:r>
      <w:r w:rsidR="00A73531" w:rsidRPr="008815C3">
        <w:t>individual TCI state switches are being executed</w:t>
      </w:r>
      <w:r w:rsidR="00DF0CF0" w:rsidRPr="008815C3">
        <w:t>.</w:t>
      </w:r>
    </w:p>
    <w:p w14:paraId="49DE3943" w14:textId="77777777" w:rsidR="00A73531" w:rsidRPr="008815C3" w:rsidRDefault="00A73531" w:rsidP="00025D8A">
      <w:pPr>
        <w:ind w:left="720"/>
        <w:rPr>
          <w:sz w:val="18"/>
          <w:szCs w:val="20"/>
        </w:rPr>
      </w:pPr>
    </w:p>
    <w:p w14:paraId="09C613CA" w14:textId="6579E4A7" w:rsidR="006E1639" w:rsidRPr="008815C3" w:rsidRDefault="00AD3C16" w:rsidP="00AD3C16">
      <w:pPr>
        <w:jc w:val="center"/>
        <w:rPr>
          <w:color w:val="FF0000"/>
          <w:sz w:val="18"/>
          <w:szCs w:val="20"/>
        </w:rPr>
      </w:pPr>
      <w:r w:rsidRPr="008815C3">
        <w:rPr>
          <w:noProof/>
          <w:sz w:val="18"/>
          <w:szCs w:val="20"/>
        </w:rPr>
        <w:lastRenderedPageBreak/>
        <w:drawing>
          <wp:inline distT="0" distB="0" distL="0" distR="0" wp14:anchorId="7A2C3546" wp14:editId="097E3511">
            <wp:extent cx="3615397" cy="2746259"/>
            <wp:effectExtent l="19050" t="19050" r="2349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0099" cy="2749831"/>
                    </a:xfrm>
                    <a:prstGeom prst="rect">
                      <a:avLst/>
                    </a:prstGeom>
                    <a:noFill/>
                    <a:ln>
                      <a:solidFill>
                        <a:schemeClr val="tx1"/>
                      </a:solidFill>
                    </a:ln>
                  </pic:spPr>
                </pic:pic>
              </a:graphicData>
            </a:graphic>
          </wp:inline>
        </w:drawing>
      </w:r>
    </w:p>
    <w:p w14:paraId="1C28B708" w14:textId="77777777" w:rsidR="00E04F76" w:rsidRDefault="00E04F76" w:rsidP="001C027F">
      <w:pPr>
        <w:pStyle w:val="RAN4proposal"/>
        <w:numPr>
          <w:ilvl w:val="0"/>
          <w:numId w:val="0"/>
        </w:numPr>
        <w:ind w:left="1080"/>
      </w:pPr>
    </w:p>
    <w:p w14:paraId="21124583" w14:textId="4754D2D3" w:rsidR="00412D37" w:rsidRPr="0020648A" w:rsidRDefault="00B11F13" w:rsidP="008E66FD">
      <w:pPr>
        <w:pStyle w:val="RAN4proposal"/>
        <w:ind w:left="360"/>
      </w:pPr>
      <w:bookmarkStart w:id="13" w:name="_Toc146740405"/>
      <w:r w:rsidRPr="0020648A">
        <w:t>During active TCI state list updat</w:t>
      </w:r>
      <w:r w:rsidR="00F46473" w:rsidRPr="0020648A">
        <w:t>e</w:t>
      </w:r>
      <w:r w:rsidRPr="0020648A">
        <w:t>, i</w:t>
      </w:r>
      <w:r w:rsidR="007632FE" w:rsidRPr="0020648A">
        <w:t xml:space="preserve">n a m-DCI scenario, </w:t>
      </w:r>
      <w:r w:rsidRPr="0020648A">
        <w:t>if the MAC-CE contains on</w:t>
      </w:r>
      <w:r w:rsidR="00464DA7" w:rsidRPr="0020648A">
        <w:t xml:space="preserve">ly one TCI state, </w:t>
      </w:r>
      <w:r w:rsidR="007632FE" w:rsidRPr="0020648A">
        <w:t xml:space="preserve">delay requirements can be applied independently per DCI and in case the UE cannot receive simultaneously in the time interval between the first TCI switch and the second TCI state switch, </w:t>
      </w:r>
      <w:r w:rsidR="007632FE" w:rsidRPr="003E7973">
        <w:t>UE is expected to receive in a TDM manner during this interval.</w:t>
      </w:r>
      <w:bookmarkEnd w:id="13"/>
    </w:p>
    <w:p w14:paraId="624411D2" w14:textId="248A12B0" w:rsidR="004A52BC" w:rsidRPr="008815C3" w:rsidRDefault="004A52BC" w:rsidP="008E66FD">
      <w:r w:rsidRPr="008815C3">
        <w:t>The existing active TCI state list update delay requirement</w:t>
      </w:r>
      <w:r w:rsidR="00A07C77" w:rsidRPr="008815C3">
        <w:t>s c</w:t>
      </w:r>
      <w:r w:rsidRPr="008815C3">
        <w:t xml:space="preserve">onsider the time to </w:t>
      </w:r>
      <w:r w:rsidR="00BB3C61" w:rsidRPr="008815C3">
        <w:t xml:space="preserve">the </w:t>
      </w:r>
      <w:r w:rsidRPr="008815C3">
        <w:t>first SSB transmission after MAC-CE command is decoded by the UE (</w:t>
      </w:r>
      <w:proofErr w:type="spellStart"/>
      <w:r w:rsidRPr="008815C3">
        <w:t>T</w:t>
      </w:r>
      <w:r w:rsidRPr="008815C3">
        <w:rPr>
          <w:vertAlign w:val="subscript"/>
        </w:rPr>
        <w:t>first</w:t>
      </w:r>
      <w:proofErr w:type="spellEnd"/>
      <w:r w:rsidRPr="008815C3">
        <w:rPr>
          <w:vertAlign w:val="subscript"/>
        </w:rPr>
        <w:t>-SSB</w:t>
      </w:r>
      <w:r w:rsidRPr="008815C3">
        <w:t xml:space="preserve">). </w:t>
      </w:r>
    </w:p>
    <w:p w14:paraId="1A60DA31" w14:textId="738C670C" w:rsidR="00A64B89" w:rsidRPr="008815C3" w:rsidRDefault="0037683F" w:rsidP="008E66FD">
      <w:r w:rsidRPr="008815C3">
        <w:t>A</w:t>
      </w:r>
      <w:r w:rsidR="00C305AF" w:rsidRPr="008815C3">
        <w:t xml:space="preserve">s in </w:t>
      </w:r>
      <w:r w:rsidR="00F20382" w:rsidRPr="008815C3">
        <w:t xml:space="preserve">the </w:t>
      </w:r>
      <w:r w:rsidR="00C305AF" w:rsidRPr="008815C3">
        <w:t>legacy</w:t>
      </w:r>
      <w:r w:rsidR="00580377" w:rsidRPr="008815C3">
        <w:t xml:space="preserve"> requirement</w:t>
      </w:r>
      <w:r w:rsidR="00C305AF" w:rsidRPr="008815C3">
        <w:t>,</w:t>
      </w:r>
      <w:r w:rsidRPr="008815C3">
        <w:t xml:space="preserve"> in case of m-TRP</w:t>
      </w:r>
      <w:r w:rsidR="00A50E62" w:rsidRPr="008815C3">
        <w:t xml:space="preserve"> active TCI state list update delay requirements,</w:t>
      </w:r>
      <w:r w:rsidR="00C305AF" w:rsidRPr="008815C3">
        <w:t xml:space="preserve"> </w:t>
      </w:r>
      <w:r w:rsidRPr="008815C3">
        <w:t xml:space="preserve">the </w:t>
      </w:r>
      <w:proofErr w:type="spellStart"/>
      <w:r w:rsidR="00580377" w:rsidRPr="008815C3">
        <w:t>T</w:t>
      </w:r>
      <w:r w:rsidR="00580377" w:rsidRPr="008815C3">
        <w:rPr>
          <w:vertAlign w:val="subscript"/>
        </w:rPr>
        <w:t>first</w:t>
      </w:r>
      <w:proofErr w:type="spellEnd"/>
      <w:r w:rsidR="00580377" w:rsidRPr="008815C3">
        <w:rPr>
          <w:vertAlign w:val="subscript"/>
        </w:rPr>
        <w:t>-SSB</w:t>
      </w:r>
      <w:r w:rsidR="00580377" w:rsidRPr="008815C3">
        <w:t xml:space="preserve"> </w:t>
      </w:r>
      <w:r w:rsidR="003751C8" w:rsidRPr="008815C3">
        <w:t xml:space="preserve">for each TCI state </w:t>
      </w:r>
      <w:r w:rsidR="00580377" w:rsidRPr="008815C3">
        <w:t xml:space="preserve">should only be </w:t>
      </w:r>
      <w:proofErr w:type="gramStart"/>
      <w:r w:rsidR="00580377" w:rsidRPr="008815C3">
        <w:t>taken into account</w:t>
      </w:r>
      <w:proofErr w:type="gramEnd"/>
      <w:r w:rsidR="00580377" w:rsidRPr="008815C3">
        <w:t xml:space="preserve"> </w:t>
      </w:r>
      <w:r w:rsidR="00F20382" w:rsidRPr="008815C3">
        <w:t xml:space="preserve">if the corresponding target TCI state is not </w:t>
      </w:r>
      <w:r w:rsidR="003751C8" w:rsidRPr="008815C3">
        <w:t xml:space="preserve">already </w:t>
      </w:r>
      <w:r w:rsidR="00F20382" w:rsidRPr="008815C3">
        <w:t>in the current active TCI state list.</w:t>
      </w:r>
    </w:p>
    <w:p w14:paraId="7F8240A1" w14:textId="240FC238" w:rsidR="009B7C43" w:rsidRDefault="009B7C43" w:rsidP="008E66FD">
      <w:r w:rsidRPr="009C776A">
        <w:t xml:space="preserve">Furthermore, </w:t>
      </w:r>
      <w:r w:rsidR="001104DD" w:rsidRPr="009C776A">
        <w:t xml:space="preserve">in cases where the target TCI state is not a part of the active TCI state list, </w:t>
      </w:r>
      <w:r w:rsidRPr="009C776A">
        <w:t>if the reference signals of the TCI states received in the MAC-CE command for TCI activation have a QCL relation with the reference signal of the TCI states already present in the active TCI state list, then there is no further need for synchronization for that TCI state.</w:t>
      </w:r>
    </w:p>
    <w:p w14:paraId="254F7C20" w14:textId="0DC0DD1F" w:rsidR="007C063A" w:rsidRPr="007C063A" w:rsidRDefault="007C063A" w:rsidP="008E66FD">
      <w:pPr>
        <w:pStyle w:val="RAN4proposal"/>
        <w:ind w:left="360"/>
      </w:pPr>
      <w:bookmarkStart w:id="14" w:name="_Toc146740406"/>
      <w:r w:rsidRPr="00317362">
        <w:t xml:space="preserve">If the reference signals of the TCI states received in the MAC-CE for TCI state activation has QCL relation with the reference signal of the TCI state which is already a part of the active TCI state list, the UE can skip synchronization </w:t>
      </w:r>
      <w:r>
        <w:t xml:space="preserve">with the first SSB </w:t>
      </w:r>
      <w:r w:rsidRPr="00317362">
        <w:t>for that TCI state.</w:t>
      </w:r>
      <w:bookmarkEnd w:id="14"/>
    </w:p>
    <w:p w14:paraId="287D8883" w14:textId="0359100E" w:rsidR="006627D9" w:rsidRPr="002B6DAC" w:rsidRDefault="006627D9" w:rsidP="00CD774B">
      <w:pPr>
        <w:rPr>
          <w:color w:val="FF0000"/>
        </w:rPr>
      </w:pPr>
    </w:p>
    <w:p w14:paraId="1B317404" w14:textId="77777777" w:rsidR="00A22B33" w:rsidRPr="00EF698B" w:rsidRDefault="00A22B33" w:rsidP="00A22B33">
      <w:pPr>
        <w:pStyle w:val="RAN4H1"/>
        <w:rPr>
          <w:lang w:val="en-US"/>
        </w:rPr>
      </w:pPr>
      <w:bookmarkStart w:id="15" w:name="_Toc116995848"/>
      <w:r w:rsidRPr="00EF698B">
        <w:rPr>
          <w:lang w:val="en-US"/>
        </w:rPr>
        <w:t>Conclusion</w:t>
      </w:r>
      <w:bookmarkEnd w:id="15"/>
    </w:p>
    <w:p w14:paraId="533C7367" w14:textId="77777777" w:rsidR="00A22B33" w:rsidRPr="007070E3" w:rsidRDefault="00A22B33" w:rsidP="003A0454">
      <w:pPr>
        <w:rPr>
          <w:highlight w:val="yellow"/>
          <w:lang w:val="en-GB"/>
        </w:rPr>
      </w:pPr>
      <w:r w:rsidRPr="007070E3">
        <w:t>In this contribution we have made the following observations and proposals:</w:t>
      </w:r>
    </w:p>
    <w:p w14:paraId="53B53C87" w14:textId="0DAA4B47" w:rsidR="008E66FD" w:rsidRDefault="00A22B33" w:rsidP="008E66FD">
      <w:pPr>
        <w:pStyle w:val="TOC5"/>
        <w:ind w:left="0"/>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6740400" w:history="1">
        <w:r w:rsidR="008E66FD" w:rsidRPr="00E24204">
          <w:rPr>
            <w:rStyle w:val="Hyperlink"/>
            <w:noProof/>
          </w:rPr>
          <w:t>Proposal 1: During a dual to single TCI state switch, if the target TCI state is also one of the source TCI states, then TCI switching delay will not apply when GBBR is enabled.</w:t>
        </w:r>
      </w:hyperlink>
    </w:p>
    <w:p w14:paraId="6ADFD963" w14:textId="515EF472" w:rsidR="008E66FD" w:rsidRDefault="008E66FD" w:rsidP="008E66FD">
      <w:pPr>
        <w:pStyle w:val="TOC5"/>
        <w:ind w:left="0"/>
        <w:rPr>
          <w:rFonts w:asciiTheme="minorHAnsi" w:eastAsiaTheme="minorEastAsia" w:hAnsiTheme="minorHAnsi"/>
          <w:b w:val="0"/>
          <w:noProof/>
          <w:kern w:val="2"/>
          <w:sz w:val="22"/>
          <w14:ligatures w14:val="standardContextual"/>
        </w:rPr>
      </w:pPr>
      <w:hyperlink w:anchor="_Toc146740401" w:history="1">
        <w:r w:rsidRPr="00E24204">
          <w:rPr>
            <w:rStyle w:val="Hyperlink"/>
            <w:noProof/>
          </w:rPr>
          <w:t>Proposal 2: For single-DCI scenario, RAN4 to reuse Rel-16 requirements for DCI based TCI switching for PDSCH, and no additional delay is considered.</w:t>
        </w:r>
      </w:hyperlink>
    </w:p>
    <w:p w14:paraId="28A39CB5" w14:textId="7249DD74" w:rsidR="008E66FD" w:rsidRDefault="008E66FD" w:rsidP="008E66FD">
      <w:pPr>
        <w:pStyle w:val="TOC5"/>
        <w:ind w:left="0"/>
        <w:rPr>
          <w:rFonts w:asciiTheme="minorHAnsi" w:eastAsiaTheme="minorEastAsia" w:hAnsiTheme="minorHAnsi"/>
          <w:b w:val="0"/>
          <w:noProof/>
          <w:kern w:val="2"/>
          <w:sz w:val="22"/>
          <w14:ligatures w14:val="standardContextual"/>
        </w:rPr>
      </w:pPr>
      <w:hyperlink w:anchor="_Toc146740402" w:history="1">
        <w:r w:rsidRPr="00E24204">
          <w:rPr>
            <w:rStyle w:val="Hyperlink"/>
            <w:noProof/>
          </w:rPr>
          <w:t>Proposal 3: In mDCI scenario, TCI switching with one CORESETpoolindex does not cause interruptions on TCI states with another CORESETpoolindex.</w:t>
        </w:r>
      </w:hyperlink>
    </w:p>
    <w:p w14:paraId="27BF9B68" w14:textId="1B2E0AE1" w:rsidR="008E66FD" w:rsidRDefault="008E66FD" w:rsidP="008E66FD">
      <w:pPr>
        <w:pStyle w:val="TOC5"/>
        <w:ind w:left="0"/>
        <w:rPr>
          <w:rFonts w:asciiTheme="minorHAnsi" w:eastAsiaTheme="minorEastAsia" w:hAnsiTheme="minorHAnsi"/>
          <w:b w:val="0"/>
          <w:noProof/>
          <w:kern w:val="2"/>
          <w:sz w:val="22"/>
          <w14:ligatures w14:val="standardContextual"/>
        </w:rPr>
      </w:pPr>
      <w:hyperlink w:anchor="_Toc146740403" w:history="1">
        <w:r w:rsidRPr="00E24204">
          <w:rPr>
            <w:rStyle w:val="Hyperlink"/>
            <w:noProof/>
          </w:rPr>
          <w:t>Proposal 4: In s-DCI PDCCH repetition, legacy requirements for MAC-CE based TCI state switch for PDCCH apply per TRP without any additional delay.</w:t>
        </w:r>
      </w:hyperlink>
    </w:p>
    <w:p w14:paraId="7CB99B7A" w14:textId="2A729C1C" w:rsidR="008E66FD" w:rsidRDefault="008E66FD" w:rsidP="008E66FD">
      <w:pPr>
        <w:pStyle w:val="TOC4"/>
        <w:rPr>
          <w:rFonts w:asciiTheme="minorHAnsi" w:eastAsiaTheme="minorEastAsia" w:hAnsiTheme="minorHAnsi"/>
          <w:noProof/>
          <w:kern w:val="2"/>
          <w:sz w:val="22"/>
          <w14:ligatures w14:val="standardContextual"/>
        </w:rPr>
      </w:pPr>
      <w:hyperlink w:anchor="_Toc146740404" w:history="1">
        <w:r w:rsidRPr="00E24204">
          <w:rPr>
            <w:rStyle w:val="Hyperlink"/>
            <w:b/>
            <w:iCs/>
            <w:noProof/>
          </w:rPr>
          <w:t>Observation 1:</w:t>
        </w:r>
        <w:r w:rsidRPr="00E24204">
          <w:rPr>
            <w:rStyle w:val="Hyperlink"/>
            <w:noProof/>
          </w:rPr>
          <w:t xml:space="preserve"> In a multi-DCI scenario, active TCI state list update to dual TCI states is not considered when the MAC-CE contains more than 1 TCI state.</w:t>
        </w:r>
      </w:hyperlink>
    </w:p>
    <w:p w14:paraId="778E8816" w14:textId="4AB3D958" w:rsidR="008E66FD" w:rsidRDefault="008E66FD" w:rsidP="008E66FD">
      <w:pPr>
        <w:pStyle w:val="TOC5"/>
        <w:ind w:left="0"/>
        <w:rPr>
          <w:rFonts w:asciiTheme="minorHAnsi" w:eastAsiaTheme="minorEastAsia" w:hAnsiTheme="minorHAnsi"/>
          <w:b w:val="0"/>
          <w:noProof/>
          <w:kern w:val="2"/>
          <w:sz w:val="22"/>
          <w14:ligatures w14:val="standardContextual"/>
        </w:rPr>
      </w:pPr>
      <w:hyperlink w:anchor="_Toc146740405" w:history="1">
        <w:r w:rsidRPr="00E24204">
          <w:rPr>
            <w:rStyle w:val="Hyperlink"/>
            <w:noProof/>
          </w:rPr>
          <w:t>Proposal 5: During active TCI state list update, in a m-DCI scenario, if the MAC-CE contains only one TCI state, delay requirements can be applied independently per DCI and in case the UE cannot receive simultaneously in the time interval between the first TCI switch and the second TCI state switch, UE is expected to receive in a TDM manner during this interval.</w:t>
        </w:r>
      </w:hyperlink>
    </w:p>
    <w:p w14:paraId="32079C12" w14:textId="24D1EED9" w:rsidR="008E66FD" w:rsidRDefault="008E66FD" w:rsidP="008E66FD">
      <w:pPr>
        <w:pStyle w:val="TOC5"/>
        <w:ind w:left="0"/>
        <w:rPr>
          <w:rFonts w:asciiTheme="minorHAnsi" w:eastAsiaTheme="minorEastAsia" w:hAnsiTheme="minorHAnsi"/>
          <w:b w:val="0"/>
          <w:noProof/>
          <w:kern w:val="2"/>
          <w:sz w:val="22"/>
          <w14:ligatures w14:val="standardContextual"/>
        </w:rPr>
      </w:pPr>
      <w:hyperlink w:anchor="_Toc146740406" w:history="1">
        <w:r w:rsidRPr="00E24204">
          <w:rPr>
            <w:rStyle w:val="Hyperlink"/>
            <w:noProof/>
          </w:rPr>
          <w:t>Proposal 6: If the reference signals of the TCI states received in the MAC-CE for TCI state activation has QCL relation with the reference signal of the TCI state which is already a part of the active TCI state list, the UE can skip synchronization with the first SSB for that TCI state.</w:t>
        </w:r>
      </w:hyperlink>
    </w:p>
    <w:p w14:paraId="293F9F11" w14:textId="68FB1D8D" w:rsidR="00A66ECF" w:rsidRPr="00FA2E8E" w:rsidRDefault="00A22B33" w:rsidP="008E66FD">
      <w:pPr>
        <w:ind w:left="720"/>
      </w:pPr>
      <w:r>
        <w:fldChar w:fldCharType="end"/>
      </w:r>
      <w:bookmarkStart w:id="16" w:name="_Toc116995849"/>
    </w:p>
    <w:p w14:paraId="7FFE1C0D" w14:textId="1F681E74" w:rsidR="00A22B33" w:rsidRPr="0060543D" w:rsidRDefault="00A22B33" w:rsidP="00721CFC">
      <w:pPr>
        <w:pStyle w:val="RAN4H1"/>
        <w:numPr>
          <w:ilvl w:val="0"/>
          <w:numId w:val="0"/>
        </w:numPr>
        <w:ind w:left="360" w:hanging="360"/>
      </w:pPr>
      <w:r w:rsidRPr="00EF698B">
        <w:t>References</w:t>
      </w:r>
      <w:bookmarkEnd w:id="16"/>
    </w:p>
    <w:p w14:paraId="4B24BF5F" w14:textId="370E0083" w:rsidR="001043F2" w:rsidRDefault="001043F2" w:rsidP="001043F2">
      <w:pPr>
        <w:pStyle w:val="ListParagraph"/>
        <w:numPr>
          <w:ilvl w:val="0"/>
          <w:numId w:val="7"/>
        </w:numPr>
        <w:ind w:right="-22"/>
      </w:pPr>
      <w:bookmarkStart w:id="17" w:name="_Ref114500673"/>
      <w:bookmarkStart w:id="18" w:name="_Ref144457288"/>
      <w:bookmarkEnd w:id="17"/>
      <w:r>
        <w:t>R4-2314280, draft CR on DCI based TCI state switch and active TCI state list update, Apple</w:t>
      </w:r>
      <w:bookmarkEnd w:id="18"/>
      <w:r>
        <w:t xml:space="preserve">, </w:t>
      </w:r>
      <w:r w:rsidRPr="001043F2">
        <w:t>3GPP TSG-RAN WG4 Meeting #108</w:t>
      </w:r>
      <w:r>
        <w:t>, Toulouse, France, 21-25 August 2023.</w:t>
      </w:r>
    </w:p>
    <w:p w14:paraId="546F71F3" w14:textId="4A2D3211" w:rsidR="001043F2" w:rsidRDefault="001043F2" w:rsidP="001043F2">
      <w:pPr>
        <w:pStyle w:val="ListParagraph"/>
        <w:numPr>
          <w:ilvl w:val="0"/>
          <w:numId w:val="7"/>
        </w:numPr>
        <w:ind w:right="-22"/>
      </w:pPr>
      <w:bookmarkStart w:id="19" w:name="_Ref144457289"/>
      <w:r>
        <w:t>R4-2314281, Draft CR on MAC-CE based dual TCI state switch, Ericsson</w:t>
      </w:r>
      <w:bookmarkEnd w:id="19"/>
      <w:r>
        <w:t xml:space="preserve">, </w:t>
      </w:r>
      <w:r w:rsidRPr="001043F2">
        <w:t>3GPP TSG-RAN WG4 Meeting #108</w:t>
      </w:r>
      <w:r>
        <w:t>, Toulouse, France, 21-25 August 2023.</w:t>
      </w:r>
    </w:p>
    <w:p w14:paraId="0FE20AC4" w14:textId="42E69DA7" w:rsidR="001043F2" w:rsidRDefault="001043F2" w:rsidP="00A818F1">
      <w:pPr>
        <w:pStyle w:val="ListParagraph"/>
        <w:numPr>
          <w:ilvl w:val="0"/>
          <w:numId w:val="7"/>
        </w:numPr>
        <w:ind w:right="-22"/>
      </w:pPr>
      <w:bookmarkStart w:id="20" w:name="_Ref144457481"/>
      <w:r>
        <w:t xml:space="preserve">R4-2314479, LS on Dual TCI state switching in </w:t>
      </w:r>
      <w:proofErr w:type="spellStart"/>
      <w:r>
        <w:t>mDCI</w:t>
      </w:r>
      <w:proofErr w:type="spellEnd"/>
      <w:r>
        <w:t xml:space="preserve">, Ericsson, </w:t>
      </w:r>
      <w:r w:rsidRPr="001043F2">
        <w:t>3GPP TSG-RAN WG4 Meeting #108</w:t>
      </w:r>
      <w:r>
        <w:t>, Toulouse, France, 21-25 August 2023.</w:t>
      </w:r>
      <w:bookmarkEnd w:id="20"/>
    </w:p>
    <w:p w14:paraId="5BCE8FDE" w14:textId="213FA8A0" w:rsidR="001043F2" w:rsidRDefault="001043F2" w:rsidP="00A818F1">
      <w:pPr>
        <w:pStyle w:val="ListParagraph"/>
        <w:numPr>
          <w:ilvl w:val="0"/>
          <w:numId w:val="7"/>
        </w:numPr>
        <w:ind w:right="-22"/>
      </w:pPr>
      <w:bookmarkStart w:id="21" w:name="_Ref144457559"/>
      <w:r>
        <w:t xml:space="preserve">R4-2314283, WF on FR2 multi-RX operation RRM requirements (part 2), Ericsson, </w:t>
      </w:r>
      <w:r w:rsidRPr="001043F2">
        <w:t>3GPP TSG-RAN WG4 Meeting #108</w:t>
      </w:r>
      <w:r>
        <w:t>, Toulouse, France, 21-25 August 2023.</w:t>
      </w:r>
      <w:bookmarkEnd w:id="21"/>
    </w:p>
    <w:sectPr w:rsidR="001043F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A38F8" w14:textId="77777777" w:rsidR="00374782" w:rsidRDefault="00374782" w:rsidP="00001C9B">
      <w:pPr>
        <w:spacing w:after="0" w:line="240" w:lineRule="auto"/>
      </w:pPr>
      <w:r>
        <w:separator/>
      </w:r>
    </w:p>
  </w:endnote>
  <w:endnote w:type="continuationSeparator" w:id="0">
    <w:p w14:paraId="43F2B4B7" w14:textId="77777777" w:rsidR="00374782" w:rsidRDefault="00374782" w:rsidP="00001C9B">
      <w:pPr>
        <w:spacing w:after="0" w:line="240" w:lineRule="auto"/>
      </w:pPr>
      <w:r>
        <w:continuationSeparator/>
      </w:r>
    </w:p>
  </w:endnote>
  <w:endnote w:type="continuationNotice" w:id="1">
    <w:p w14:paraId="44B1FE92" w14:textId="77777777" w:rsidR="00374782" w:rsidRDefault="00374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89E9B" w14:textId="77777777" w:rsidR="00374782" w:rsidRDefault="00374782" w:rsidP="00001C9B">
      <w:pPr>
        <w:spacing w:after="0" w:line="240" w:lineRule="auto"/>
      </w:pPr>
      <w:r>
        <w:separator/>
      </w:r>
    </w:p>
  </w:footnote>
  <w:footnote w:type="continuationSeparator" w:id="0">
    <w:p w14:paraId="200C6A94" w14:textId="77777777" w:rsidR="00374782" w:rsidRDefault="00374782" w:rsidP="00001C9B">
      <w:pPr>
        <w:spacing w:after="0" w:line="240" w:lineRule="auto"/>
      </w:pPr>
      <w:r>
        <w:continuationSeparator/>
      </w:r>
    </w:p>
  </w:footnote>
  <w:footnote w:type="continuationNotice" w:id="1">
    <w:p w14:paraId="0E00D502" w14:textId="77777777" w:rsidR="00374782" w:rsidRDefault="003747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7DDA"/>
    <w:multiLevelType w:val="multilevel"/>
    <w:tmpl w:val="D3BC8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E5926"/>
    <w:multiLevelType w:val="multilevel"/>
    <w:tmpl w:val="A5FEA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2B7C8B"/>
    <w:multiLevelType w:val="multilevel"/>
    <w:tmpl w:val="5ECE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AF4AE7"/>
    <w:multiLevelType w:val="hybridMultilevel"/>
    <w:tmpl w:val="DA66149A"/>
    <w:lvl w:ilvl="0" w:tplc="CE0AF014">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7F3522"/>
    <w:multiLevelType w:val="multilevel"/>
    <w:tmpl w:val="372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9261DD"/>
    <w:multiLevelType w:val="hybridMultilevel"/>
    <w:tmpl w:val="F5A69E84"/>
    <w:lvl w:ilvl="0" w:tplc="4E8A807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9346B"/>
    <w:multiLevelType w:val="multilevel"/>
    <w:tmpl w:val="4572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5F372E"/>
    <w:multiLevelType w:val="multilevel"/>
    <w:tmpl w:val="40E85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117457"/>
    <w:multiLevelType w:val="multilevel"/>
    <w:tmpl w:val="1B6EA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1D15A1"/>
    <w:multiLevelType w:val="multilevel"/>
    <w:tmpl w:val="E7C896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123AB0FC"/>
    <w:lvl w:ilvl="0" w:tplc="1EB687C2">
      <w:start w:val="1"/>
      <w:numFmt w:val="decimal"/>
      <w:pStyle w:val="RAN4Observation"/>
      <w:suff w:val="space"/>
      <w:lvlText w:val="Observation %1:"/>
      <w:lvlJc w:val="left"/>
      <w:pPr>
        <w:ind w:left="2520" w:hanging="360"/>
      </w:pPr>
      <w:rPr>
        <w:rFonts w:ascii="Times New Roman" w:hAnsi="Times New Roman" w:hint="default"/>
        <w:b/>
        <w:i w:val="0"/>
        <w:color w:val="auto"/>
        <w:sz w:val="20"/>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48203389"/>
    <w:multiLevelType w:val="multilevel"/>
    <w:tmpl w:val="891A0A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801372"/>
    <w:multiLevelType w:val="multilevel"/>
    <w:tmpl w:val="7A08E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A60AB0"/>
    <w:multiLevelType w:val="multilevel"/>
    <w:tmpl w:val="7ADCD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6E3167"/>
    <w:multiLevelType w:val="hybridMultilevel"/>
    <w:tmpl w:val="A3BC0A88"/>
    <w:lvl w:ilvl="0" w:tplc="41EE9A08">
      <w:start w:val="1"/>
      <w:numFmt w:val="decimal"/>
      <w:pStyle w:val="RAN4proposal"/>
      <w:suff w:val="space"/>
      <w:lvlText w:val="Proposal %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2A632C"/>
    <w:multiLevelType w:val="multilevel"/>
    <w:tmpl w:val="AF50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2186E4A"/>
    <w:multiLevelType w:val="hybridMultilevel"/>
    <w:tmpl w:val="9D66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E0834"/>
    <w:multiLevelType w:val="multilevel"/>
    <w:tmpl w:val="A5785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BC0D61"/>
    <w:multiLevelType w:val="multilevel"/>
    <w:tmpl w:val="CE72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6D1F72"/>
    <w:multiLevelType w:val="multilevel"/>
    <w:tmpl w:val="1EDE85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4C13BB"/>
    <w:multiLevelType w:val="multilevel"/>
    <w:tmpl w:val="6094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F37BAD"/>
    <w:multiLevelType w:val="multilevel"/>
    <w:tmpl w:val="BAA8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622D97"/>
    <w:multiLevelType w:val="multilevel"/>
    <w:tmpl w:val="7964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3193073">
    <w:abstractNumId w:val="16"/>
  </w:num>
  <w:num w:numId="2" w16cid:durableId="391276896">
    <w:abstractNumId w:val="11"/>
  </w:num>
  <w:num w:numId="3" w16cid:durableId="1572957536">
    <w:abstractNumId w:val="15"/>
  </w:num>
  <w:num w:numId="4" w16cid:durableId="1259825081">
    <w:abstractNumId w:val="15"/>
    <w:lvlOverride w:ilvl="0">
      <w:startOverride w:val="1"/>
    </w:lvlOverride>
  </w:num>
  <w:num w:numId="5" w16cid:durableId="1341469094">
    <w:abstractNumId w:val="11"/>
    <w:lvlOverride w:ilvl="0">
      <w:startOverride w:val="1"/>
    </w:lvlOverride>
  </w:num>
  <w:num w:numId="6" w16cid:durableId="167990357">
    <w:abstractNumId w:val="22"/>
  </w:num>
  <w:num w:numId="7" w16cid:durableId="262110702">
    <w:abstractNumId w:val="18"/>
  </w:num>
  <w:num w:numId="8" w16cid:durableId="206534301">
    <w:abstractNumId w:val="1"/>
  </w:num>
  <w:num w:numId="9" w16cid:durableId="1017973270">
    <w:abstractNumId w:val="19"/>
  </w:num>
  <w:num w:numId="10" w16cid:durableId="391193932">
    <w:abstractNumId w:val="26"/>
  </w:num>
  <w:num w:numId="11" w16cid:durableId="1770463759">
    <w:abstractNumId w:val="21"/>
  </w:num>
  <w:num w:numId="12" w16cid:durableId="1612662168">
    <w:abstractNumId w:val="5"/>
  </w:num>
  <w:num w:numId="13" w16cid:durableId="1099370491">
    <w:abstractNumId w:val="7"/>
  </w:num>
  <w:num w:numId="14" w16cid:durableId="92867972">
    <w:abstractNumId w:val="12"/>
  </w:num>
  <w:num w:numId="15" w16cid:durableId="1895580245">
    <w:abstractNumId w:val="25"/>
  </w:num>
  <w:num w:numId="16" w16cid:durableId="304238147">
    <w:abstractNumId w:val="13"/>
  </w:num>
  <w:num w:numId="17" w16cid:durableId="1838153946">
    <w:abstractNumId w:val="9"/>
  </w:num>
  <w:num w:numId="18" w16cid:durableId="1173254090">
    <w:abstractNumId w:val="20"/>
  </w:num>
  <w:num w:numId="19" w16cid:durableId="400565261">
    <w:abstractNumId w:val="6"/>
  </w:num>
  <w:num w:numId="20" w16cid:durableId="914705217">
    <w:abstractNumId w:val="23"/>
  </w:num>
  <w:num w:numId="21" w16cid:durableId="268394186">
    <w:abstractNumId w:val="10"/>
  </w:num>
  <w:num w:numId="22" w16cid:durableId="1078989012">
    <w:abstractNumId w:val="2"/>
  </w:num>
  <w:num w:numId="23" w16cid:durableId="380911022">
    <w:abstractNumId w:val="0"/>
  </w:num>
  <w:num w:numId="24" w16cid:durableId="1618633495">
    <w:abstractNumId w:val="14"/>
  </w:num>
  <w:num w:numId="25" w16cid:durableId="967972467">
    <w:abstractNumId w:val="8"/>
  </w:num>
  <w:num w:numId="26" w16cid:durableId="2079357599">
    <w:abstractNumId w:val="17"/>
  </w:num>
  <w:num w:numId="27" w16cid:durableId="2046829435">
    <w:abstractNumId w:val="24"/>
  </w:num>
  <w:num w:numId="28" w16cid:durableId="1980063032">
    <w:abstractNumId w:val="27"/>
  </w:num>
  <w:num w:numId="29" w16cid:durableId="338654107">
    <w:abstractNumId w:val="3"/>
  </w:num>
  <w:num w:numId="30" w16cid:durableId="1448700016">
    <w:abstractNumId w:val="4"/>
  </w:num>
  <w:num w:numId="31" w16cid:durableId="81338159">
    <w:abstractNumId w:val="15"/>
    <w:lvlOverride w:ilvl="0">
      <w:startOverride w:val="1"/>
    </w:lvlOverride>
  </w:num>
  <w:num w:numId="32" w16cid:durableId="713584715">
    <w:abstractNumId w:val="1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037"/>
    <w:rsid w:val="00000E49"/>
    <w:rsid w:val="00001C9B"/>
    <w:rsid w:val="000040DC"/>
    <w:rsid w:val="00005761"/>
    <w:rsid w:val="000072DB"/>
    <w:rsid w:val="00007FBD"/>
    <w:rsid w:val="00010A4F"/>
    <w:rsid w:val="00010C0C"/>
    <w:rsid w:val="00010DC7"/>
    <w:rsid w:val="0001176F"/>
    <w:rsid w:val="0001298D"/>
    <w:rsid w:val="00013353"/>
    <w:rsid w:val="00013DCF"/>
    <w:rsid w:val="00014B83"/>
    <w:rsid w:val="000151EF"/>
    <w:rsid w:val="00020DD1"/>
    <w:rsid w:val="000214F2"/>
    <w:rsid w:val="0002172E"/>
    <w:rsid w:val="00022151"/>
    <w:rsid w:val="00022D1A"/>
    <w:rsid w:val="000239F5"/>
    <w:rsid w:val="00025D8A"/>
    <w:rsid w:val="00026D43"/>
    <w:rsid w:val="0002796C"/>
    <w:rsid w:val="000307AE"/>
    <w:rsid w:val="00030EAD"/>
    <w:rsid w:val="00035147"/>
    <w:rsid w:val="0003602E"/>
    <w:rsid w:val="000421B6"/>
    <w:rsid w:val="00043EE1"/>
    <w:rsid w:val="00045F09"/>
    <w:rsid w:val="00046AEA"/>
    <w:rsid w:val="0004733C"/>
    <w:rsid w:val="00047682"/>
    <w:rsid w:val="00052D18"/>
    <w:rsid w:val="00054E19"/>
    <w:rsid w:val="00055FA3"/>
    <w:rsid w:val="0006090A"/>
    <w:rsid w:val="00064AEF"/>
    <w:rsid w:val="00065A46"/>
    <w:rsid w:val="00066DCB"/>
    <w:rsid w:val="00067DC5"/>
    <w:rsid w:val="000709BC"/>
    <w:rsid w:val="0007144A"/>
    <w:rsid w:val="00071EA7"/>
    <w:rsid w:val="00073D8B"/>
    <w:rsid w:val="00074B1F"/>
    <w:rsid w:val="00080087"/>
    <w:rsid w:val="00080548"/>
    <w:rsid w:val="000806AC"/>
    <w:rsid w:val="00081063"/>
    <w:rsid w:val="000829FB"/>
    <w:rsid w:val="000843D2"/>
    <w:rsid w:val="0008612A"/>
    <w:rsid w:val="00087BE3"/>
    <w:rsid w:val="00090572"/>
    <w:rsid w:val="00090E18"/>
    <w:rsid w:val="000942C4"/>
    <w:rsid w:val="000963CD"/>
    <w:rsid w:val="000A0B77"/>
    <w:rsid w:val="000A10BC"/>
    <w:rsid w:val="000A1F2B"/>
    <w:rsid w:val="000B0056"/>
    <w:rsid w:val="000B05EF"/>
    <w:rsid w:val="000B149B"/>
    <w:rsid w:val="000B1BDB"/>
    <w:rsid w:val="000B280C"/>
    <w:rsid w:val="000B2F89"/>
    <w:rsid w:val="000B36EA"/>
    <w:rsid w:val="000B5050"/>
    <w:rsid w:val="000B691F"/>
    <w:rsid w:val="000C0145"/>
    <w:rsid w:val="000C2035"/>
    <w:rsid w:val="000C2795"/>
    <w:rsid w:val="000C2A38"/>
    <w:rsid w:val="000C3C7B"/>
    <w:rsid w:val="000C5767"/>
    <w:rsid w:val="000C68EA"/>
    <w:rsid w:val="000D0F93"/>
    <w:rsid w:val="000D0FB1"/>
    <w:rsid w:val="000D3851"/>
    <w:rsid w:val="000D3A56"/>
    <w:rsid w:val="000E62DA"/>
    <w:rsid w:val="000E6953"/>
    <w:rsid w:val="000F0C33"/>
    <w:rsid w:val="000F3273"/>
    <w:rsid w:val="000F53EE"/>
    <w:rsid w:val="000F5B8F"/>
    <w:rsid w:val="000F6008"/>
    <w:rsid w:val="000F73C7"/>
    <w:rsid w:val="00100022"/>
    <w:rsid w:val="001000DB"/>
    <w:rsid w:val="001002B8"/>
    <w:rsid w:val="0010359A"/>
    <w:rsid w:val="001043F2"/>
    <w:rsid w:val="00106416"/>
    <w:rsid w:val="00110481"/>
    <w:rsid w:val="001104DD"/>
    <w:rsid w:val="0011187F"/>
    <w:rsid w:val="001127C9"/>
    <w:rsid w:val="00115B88"/>
    <w:rsid w:val="001201EE"/>
    <w:rsid w:val="00120770"/>
    <w:rsid w:val="0012084B"/>
    <w:rsid w:val="00121796"/>
    <w:rsid w:val="00123022"/>
    <w:rsid w:val="00123702"/>
    <w:rsid w:val="00123DAB"/>
    <w:rsid w:val="0012546E"/>
    <w:rsid w:val="00126452"/>
    <w:rsid w:val="00126ACE"/>
    <w:rsid w:val="00126BE0"/>
    <w:rsid w:val="0013056E"/>
    <w:rsid w:val="0013089B"/>
    <w:rsid w:val="00132F6A"/>
    <w:rsid w:val="00133019"/>
    <w:rsid w:val="00133913"/>
    <w:rsid w:val="00133B6C"/>
    <w:rsid w:val="00134994"/>
    <w:rsid w:val="00134D9C"/>
    <w:rsid w:val="00134EF3"/>
    <w:rsid w:val="0013563D"/>
    <w:rsid w:val="0013564C"/>
    <w:rsid w:val="00135DB3"/>
    <w:rsid w:val="0013642E"/>
    <w:rsid w:val="001364FE"/>
    <w:rsid w:val="00140221"/>
    <w:rsid w:val="00143EFC"/>
    <w:rsid w:val="00144B7A"/>
    <w:rsid w:val="0014570E"/>
    <w:rsid w:val="0014572F"/>
    <w:rsid w:val="0014612F"/>
    <w:rsid w:val="00146FC1"/>
    <w:rsid w:val="00151CB3"/>
    <w:rsid w:val="00151ED2"/>
    <w:rsid w:val="00152507"/>
    <w:rsid w:val="0015505B"/>
    <w:rsid w:val="00157D48"/>
    <w:rsid w:val="00160007"/>
    <w:rsid w:val="001614EE"/>
    <w:rsid w:val="00162C06"/>
    <w:rsid w:val="001630D1"/>
    <w:rsid w:val="001633F6"/>
    <w:rsid w:val="0016395C"/>
    <w:rsid w:val="00163E31"/>
    <w:rsid w:val="001642FC"/>
    <w:rsid w:val="001644FB"/>
    <w:rsid w:val="0016496B"/>
    <w:rsid w:val="001652D2"/>
    <w:rsid w:val="0016544A"/>
    <w:rsid w:val="00166471"/>
    <w:rsid w:val="001729A8"/>
    <w:rsid w:val="001741C9"/>
    <w:rsid w:val="001743E2"/>
    <w:rsid w:val="001745F8"/>
    <w:rsid w:val="00174A4E"/>
    <w:rsid w:val="00176B1A"/>
    <w:rsid w:val="00182F5A"/>
    <w:rsid w:val="00183219"/>
    <w:rsid w:val="001838CF"/>
    <w:rsid w:val="001860D4"/>
    <w:rsid w:val="001862E3"/>
    <w:rsid w:val="001868EE"/>
    <w:rsid w:val="001875A4"/>
    <w:rsid w:val="0019104A"/>
    <w:rsid w:val="0019112D"/>
    <w:rsid w:val="001918CB"/>
    <w:rsid w:val="00192EAD"/>
    <w:rsid w:val="001A140D"/>
    <w:rsid w:val="001A1B2A"/>
    <w:rsid w:val="001A2AB0"/>
    <w:rsid w:val="001A3BA4"/>
    <w:rsid w:val="001A518A"/>
    <w:rsid w:val="001A61D4"/>
    <w:rsid w:val="001A659E"/>
    <w:rsid w:val="001A6D1F"/>
    <w:rsid w:val="001A7816"/>
    <w:rsid w:val="001B06B4"/>
    <w:rsid w:val="001B2023"/>
    <w:rsid w:val="001B559A"/>
    <w:rsid w:val="001B5DCB"/>
    <w:rsid w:val="001B704F"/>
    <w:rsid w:val="001C027F"/>
    <w:rsid w:val="001C2A42"/>
    <w:rsid w:val="001D019E"/>
    <w:rsid w:val="001D12EA"/>
    <w:rsid w:val="001D4313"/>
    <w:rsid w:val="001D436E"/>
    <w:rsid w:val="001D5EAC"/>
    <w:rsid w:val="001D7021"/>
    <w:rsid w:val="001E1714"/>
    <w:rsid w:val="001E2F8A"/>
    <w:rsid w:val="001E30F6"/>
    <w:rsid w:val="001E3CB6"/>
    <w:rsid w:val="001E422D"/>
    <w:rsid w:val="001E4239"/>
    <w:rsid w:val="001F2DC6"/>
    <w:rsid w:val="001F42A9"/>
    <w:rsid w:val="001F7E87"/>
    <w:rsid w:val="00200D91"/>
    <w:rsid w:val="00200F56"/>
    <w:rsid w:val="00201644"/>
    <w:rsid w:val="00204D7C"/>
    <w:rsid w:val="00204F0B"/>
    <w:rsid w:val="00205E90"/>
    <w:rsid w:val="0020648A"/>
    <w:rsid w:val="002103B7"/>
    <w:rsid w:val="002146E2"/>
    <w:rsid w:val="00215DFA"/>
    <w:rsid w:val="00215F77"/>
    <w:rsid w:val="00217BC2"/>
    <w:rsid w:val="00217CA8"/>
    <w:rsid w:val="00217EE5"/>
    <w:rsid w:val="0022001A"/>
    <w:rsid w:val="00220254"/>
    <w:rsid w:val="00220387"/>
    <w:rsid w:val="00220D47"/>
    <w:rsid w:val="002215D4"/>
    <w:rsid w:val="00221C3B"/>
    <w:rsid w:val="00221CCB"/>
    <w:rsid w:val="002238DA"/>
    <w:rsid w:val="0022461D"/>
    <w:rsid w:val="0023180D"/>
    <w:rsid w:val="00231B6F"/>
    <w:rsid w:val="0023293E"/>
    <w:rsid w:val="00233817"/>
    <w:rsid w:val="002346A0"/>
    <w:rsid w:val="002346F2"/>
    <w:rsid w:val="00235F5C"/>
    <w:rsid w:val="00237E9C"/>
    <w:rsid w:val="00240186"/>
    <w:rsid w:val="00241027"/>
    <w:rsid w:val="00242C62"/>
    <w:rsid w:val="00242ED9"/>
    <w:rsid w:val="00242F67"/>
    <w:rsid w:val="002443F9"/>
    <w:rsid w:val="00244C03"/>
    <w:rsid w:val="00245332"/>
    <w:rsid w:val="00245BB8"/>
    <w:rsid w:val="00246DD9"/>
    <w:rsid w:val="002472A8"/>
    <w:rsid w:val="00247CE2"/>
    <w:rsid w:val="002541FE"/>
    <w:rsid w:val="00254F15"/>
    <w:rsid w:val="0025542F"/>
    <w:rsid w:val="00256779"/>
    <w:rsid w:val="0025710D"/>
    <w:rsid w:val="00257FA3"/>
    <w:rsid w:val="00257FCC"/>
    <w:rsid w:val="002617CC"/>
    <w:rsid w:val="00261E87"/>
    <w:rsid w:val="00264BF2"/>
    <w:rsid w:val="00265A9E"/>
    <w:rsid w:val="00267284"/>
    <w:rsid w:val="00267FDA"/>
    <w:rsid w:val="002748C7"/>
    <w:rsid w:val="0027515F"/>
    <w:rsid w:val="00277B56"/>
    <w:rsid w:val="00277C4A"/>
    <w:rsid w:val="0028057B"/>
    <w:rsid w:val="002805AF"/>
    <w:rsid w:val="002839E8"/>
    <w:rsid w:val="0028474F"/>
    <w:rsid w:val="00285205"/>
    <w:rsid w:val="0028545F"/>
    <w:rsid w:val="00285CDC"/>
    <w:rsid w:val="00287501"/>
    <w:rsid w:val="00290D71"/>
    <w:rsid w:val="00291CF8"/>
    <w:rsid w:val="002949BF"/>
    <w:rsid w:val="00295BA6"/>
    <w:rsid w:val="00297C1A"/>
    <w:rsid w:val="002A0240"/>
    <w:rsid w:val="002A19F5"/>
    <w:rsid w:val="002A3983"/>
    <w:rsid w:val="002A3E28"/>
    <w:rsid w:val="002B0841"/>
    <w:rsid w:val="002B12A3"/>
    <w:rsid w:val="002B2A9F"/>
    <w:rsid w:val="002B41F7"/>
    <w:rsid w:val="002B4922"/>
    <w:rsid w:val="002B6214"/>
    <w:rsid w:val="002B6DAC"/>
    <w:rsid w:val="002B7B1B"/>
    <w:rsid w:val="002C0500"/>
    <w:rsid w:val="002C22C3"/>
    <w:rsid w:val="002C25A2"/>
    <w:rsid w:val="002C25E8"/>
    <w:rsid w:val="002C2D19"/>
    <w:rsid w:val="002C30AD"/>
    <w:rsid w:val="002C3D7C"/>
    <w:rsid w:val="002C7721"/>
    <w:rsid w:val="002C7A27"/>
    <w:rsid w:val="002D0EA1"/>
    <w:rsid w:val="002D10FA"/>
    <w:rsid w:val="002D3B30"/>
    <w:rsid w:val="002D4C55"/>
    <w:rsid w:val="002D5BC9"/>
    <w:rsid w:val="002D6182"/>
    <w:rsid w:val="002D6671"/>
    <w:rsid w:val="002D7789"/>
    <w:rsid w:val="002E0E40"/>
    <w:rsid w:val="002E1A75"/>
    <w:rsid w:val="002E2959"/>
    <w:rsid w:val="002E5BA4"/>
    <w:rsid w:val="002E61E7"/>
    <w:rsid w:val="002E6848"/>
    <w:rsid w:val="002E6DED"/>
    <w:rsid w:val="002F02CD"/>
    <w:rsid w:val="002F0FBE"/>
    <w:rsid w:val="002F3647"/>
    <w:rsid w:val="002F43D9"/>
    <w:rsid w:val="002F778A"/>
    <w:rsid w:val="00300894"/>
    <w:rsid w:val="00300956"/>
    <w:rsid w:val="00300EED"/>
    <w:rsid w:val="003011F8"/>
    <w:rsid w:val="00303BF4"/>
    <w:rsid w:val="00304779"/>
    <w:rsid w:val="0030500C"/>
    <w:rsid w:val="0031155D"/>
    <w:rsid w:val="00313E6D"/>
    <w:rsid w:val="003145EA"/>
    <w:rsid w:val="003151A2"/>
    <w:rsid w:val="003155E6"/>
    <w:rsid w:val="0031603F"/>
    <w:rsid w:val="00316768"/>
    <w:rsid w:val="00317187"/>
    <w:rsid w:val="00317FB7"/>
    <w:rsid w:val="00321858"/>
    <w:rsid w:val="003218C0"/>
    <w:rsid w:val="0032499A"/>
    <w:rsid w:val="00324A17"/>
    <w:rsid w:val="0032634E"/>
    <w:rsid w:val="00327927"/>
    <w:rsid w:val="003341F7"/>
    <w:rsid w:val="00335A35"/>
    <w:rsid w:val="00335DB7"/>
    <w:rsid w:val="00336FE6"/>
    <w:rsid w:val="00337504"/>
    <w:rsid w:val="003428B9"/>
    <w:rsid w:val="00343108"/>
    <w:rsid w:val="00347BE0"/>
    <w:rsid w:val="00347C71"/>
    <w:rsid w:val="00347FEC"/>
    <w:rsid w:val="00350C4F"/>
    <w:rsid w:val="0035234C"/>
    <w:rsid w:val="00353C25"/>
    <w:rsid w:val="00354CBF"/>
    <w:rsid w:val="00356EE6"/>
    <w:rsid w:val="00356F45"/>
    <w:rsid w:val="00357710"/>
    <w:rsid w:val="0036083B"/>
    <w:rsid w:val="003615B1"/>
    <w:rsid w:val="00361CE5"/>
    <w:rsid w:val="00361E3D"/>
    <w:rsid w:val="00361FEB"/>
    <w:rsid w:val="003639C1"/>
    <w:rsid w:val="00363CB8"/>
    <w:rsid w:val="00363D0A"/>
    <w:rsid w:val="003647F0"/>
    <w:rsid w:val="00366B74"/>
    <w:rsid w:val="00370430"/>
    <w:rsid w:val="003726DA"/>
    <w:rsid w:val="0037376A"/>
    <w:rsid w:val="00374782"/>
    <w:rsid w:val="00374D05"/>
    <w:rsid w:val="00374E18"/>
    <w:rsid w:val="003751C8"/>
    <w:rsid w:val="0037528C"/>
    <w:rsid w:val="0037538F"/>
    <w:rsid w:val="0037683F"/>
    <w:rsid w:val="00377129"/>
    <w:rsid w:val="00381992"/>
    <w:rsid w:val="003826C6"/>
    <w:rsid w:val="0038474C"/>
    <w:rsid w:val="003876F9"/>
    <w:rsid w:val="0039081E"/>
    <w:rsid w:val="003926FE"/>
    <w:rsid w:val="00394FE8"/>
    <w:rsid w:val="003955D1"/>
    <w:rsid w:val="00395789"/>
    <w:rsid w:val="003A0454"/>
    <w:rsid w:val="003A25B3"/>
    <w:rsid w:val="003A4C34"/>
    <w:rsid w:val="003A4EC9"/>
    <w:rsid w:val="003A710A"/>
    <w:rsid w:val="003B2863"/>
    <w:rsid w:val="003B443B"/>
    <w:rsid w:val="003B4D4C"/>
    <w:rsid w:val="003B619E"/>
    <w:rsid w:val="003B659E"/>
    <w:rsid w:val="003C275E"/>
    <w:rsid w:val="003C3DEA"/>
    <w:rsid w:val="003C40AC"/>
    <w:rsid w:val="003C445E"/>
    <w:rsid w:val="003C5D38"/>
    <w:rsid w:val="003C61BC"/>
    <w:rsid w:val="003D0223"/>
    <w:rsid w:val="003D0AB1"/>
    <w:rsid w:val="003D2429"/>
    <w:rsid w:val="003D3A53"/>
    <w:rsid w:val="003D567F"/>
    <w:rsid w:val="003D5BC3"/>
    <w:rsid w:val="003D5D7F"/>
    <w:rsid w:val="003D606D"/>
    <w:rsid w:val="003D6099"/>
    <w:rsid w:val="003E021E"/>
    <w:rsid w:val="003E0687"/>
    <w:rsid w:val="003E0F23"/>
    <w:rsid w:val="003E1229"/>
    <w:rsid w:val="003E226D"/>
    <w:rsid w:val="003E3C47"/>
    <w:rsid w:val="003E452C"/>
    <w:rsid w:val="003E58DF"/>
    <w:rsid w:val="003E6A17"/>
    <w:rsid w:val="003E6E0B"/>
    <w:rsid w:val="003E7133"/>
    <w:rsid w:val="003E76E9"/>
    <w:rsid w:val="003E7973"/>
    <w:rsid w:val="003F0621"/>
    <w:rsid w:val="003F0A37"/>
    <w:rsid w:val="003F1EEC"/>
    <w:rsid w:val="003F30BA"/>
    <w:rsid w:val="003F4127"/>
    <w:rsid w:val="003F6C92"/>
    <w:rsid w:val="003F6E93"/>
    <w:rsid w:val="0040133F"/>
    <w:rsid w:val="00402ED5"/>
    <w:rsid w:val="00404C4C"/>
    <w:rsid w:val="00406B8A"/>
    <w:rsid w:val="004075CC"/>
    <w:rsid w:val="00410881"/>
    <w:rsid w:val="004123A5"/>
    <w:rsid w:val="0041293A"/>
    <w:rsid w:val="00412A87"/>
    <w:rsid w:val="00412D37"/>
    <w:rsid w:val="004133A1"/>
    <w:rsid w:val="0041397F"/>
    <w:rsid w:val="0041423F"/>
    <w:rsid w:val="00414F81"/>
    <w:rsid w:val="0041638A"/>
    <w:rsid w:val="004218FB"/>
    <w:rsid w:val="00423247"/>
    <w:rsid w:val="00425109"/>
    <w:rsid w:val="0042691B"/>
    <w:rsid w:val="004271CD"/>
    <w:rsid w:val="00431172"/>
    <w:rsid w:val="00432BB4"/>
    <w:rsid w:val="00435519"/>
    <w:rsid w:val="00435A78"/>
    <w:rsid w:val="0043647A"/>
    <w:rsid w:val="00436A0F"/>
    <w:rsid w:val="00437150"/>
    <w:rsid w:val="0043750A"/>
    <w:rsid w:val="00444127"/>
    <w:rsid w:val="004447B3"/>
    <w:rsid w:val="00445EB5"/>
    <w:rsid w:val="00447140"/>
    <w:rsid w:val="00451C05"/>
    <w:rsid w:val="0045349A"/>
    <w:rsid w:val="00454570"/>
    <w:rsid w:val="004558D7"/>
    <w:rsid w:val="00460B7B"/>
    <w:rsid w:val="00461835"/>
    <w:rsid w:val="00461C5C"/>
    <w:rsid w:val="00464223"/>
    <w:rsid w:val="00464DA7"/>
    <w:rsid w:val="00470C41"/>
    <w:rsid w:val="0047233B"/>
    <w:rsid w:val="00472834"/>
    <w:rsid w:val="004732E9"/>
    <w:rsid w:val="004736D6"/>
    <w:rsid w:val="00474AD6"/>
    <w:rsid w:val="004802E0"/>
    <w:rsid w:val="00480D4F"/>
    <w:rsid w:val="00481804"/>
    <w:rsid w:val="00481AA3"/>
    <w:rsid w:val="004825E4"/>
    <w:rsid w:val="00483AF4"/>
    <w:rsid w:val="004854BB"/>
    <w:rsid w:val="00487226"/>
    <w:rsid w:val="00487362"/>
    <w:rsid w:val="00490BEA"/>
    <w:rsid w:val="00494B88"/>
    <w:rsid w:val="00495DFF"/>
    <w:rsid w:val="00496606"/>
    <w:rsid w:val="004970D3"/>
    <w:rsid w:val="004A0A5F"/>
    <w:rsid w:val="004A1682"/>
    <w:rsid w:val="004A3864"/>
    <w:rsid w:val="004A52BC"/>
    <w:rsid w:val="004A7CB7"/>
    <w:rsid w:val="004B1F8E"/>
    <w:rsid w:val="004C1A34"/>
    <w:rsid w:val="004C22C9"/>
    <w:rsid w:val="004C33A9"/>
    <w:rsid w:val="004C555D"/>
    <w:rsid w:val="004C62C8"/>
    <w:rsid w:val="004C677A"/>
    <w:rsid w:val="004D0024"/>
    <w:rsid w:val="004D204A"/>
    <w:rsid w:val="004D39CC"/>
    <w:rsid w:val="004D4322"/>
    <w:rsid w:val="004D43C5"/>
    <w:rsid w:val="004D5467"/>
    <w:rsid w:val="004D55E3"/>
    <w:rsid w:val="004E0971"/>
    <w:rsid w:val="004E121F"/>
    <w:rsid w:val="004E3027"/>
    <w:rsid w:val="004E5E66"/>
    <w:rsid w:val="004E6C7B"/>
    <w:rsid w:val="004E7ABB"/>
    <w:rsid w:val="004E7ADB"/>
    <w:rsid w:val="004F1BCA"/>
    <w:rsid w:val="004F20A5"/>
    <w:rsid w:val="004F5994"/>
    <w:rsid w:val="004F6F41"/>
    <w:rsid w:val="00500A19"/>
    <w:rsid w:val="005015F5"/>
    <w:rsid w:val="00501F71"/>
    <w:rsid w:val="005025C3"/>
    <w:rsid w:val="0050359E"/>
    <w:rsid w:val="00503B4D"/>
    <w:rsid w:val="00504EE9"/>
    <w:rsid w:val="00506796"/>
    <w:rsid w:val="00507807"/>
    <w:rsid w:val="00510516"/>
    <w:rsid w:val="00510D94"/>
    <w:rsid w:val="0051106A"/>
    <w:rsid w:val="00511D01"/>
    <w:rsid w:val="00515DE6"/>
    <w:rsid w:val="00515E17"/>
    <w:rsid w:val="00517B35"/>
    <w:rsid w:val="00521576"/>
    <w:rsid w:val="00522AEF"/>
    <w:rsid w:val="005250E6"/>
    <w:rsid w:val="00525191"/>
    <w:rsid w:val="00526444"/>
    <w:rsid w:val="00526EE9"/>
    <w:rsid w:val="00526EFD"/>
    <w:rsid w:val="005278B5"/>
    <w:rsid w:val="00530013"/>
    <w:rsid w:val="0053372E"/>
    <w:rsid w:val="005338B9"/>
    <w:rsid w:val="005355DD"/>
    <w:rsid w:val="005378C3"/>
    <w:rsid w:val="00540926"/>
    <w:rsid w:val="00541237"/>
    <w:rsid w:val="00542D23"/>
    <w:rsid w:val="00543EC2"/>
    <w:rsid w:val="0054442C"/>
    <w:rsid w:val="00545B0D"/>
    <w:rsid w:val="00546DE7"/>
    <w:rsid w:val="00547A27"/>
    <w:rsid w:val="00550285"/>
    <w:rsid w:val="00550A46"/>
    <w:rsid w:val="00551353"/>
    <w:rsid w:val="00551D6C"/>
    <w:rsid w:val="00553E8D"/>
    <w:rsid w:val="00554901"/>
    <w:rsid w:val="005574B7"/>
    <w:rsid w:val="005576B3"/>
    <w:rsid w:val="00560626"/>
    <w:rsid w:val="00561158"/>
    <w:rsid w:val="00562492"/>
    <w:rsid w:val="00564196"/>
    <w:rsid w:val="005651B9"/>
    <w:rsid w:val="005670E3"/>
    <w:rsid w:val="005708E5"/>
    <w:rsid w:val="005720F6"/>
    <w:rsid w:val="0057232C"/>
    <w:rsid w:val="005724FD"/>
    <w:rsid w:val="00572A20"/>
    <w:rsid w:val="00573065"/>
    <w:rsid w:val="0057306F"/>
    <w:rsid w:val="0057415A"/>
    <w:rsid w:val="00576A95"/>
    <w:rsid w:val="00577E40"/>
    <w:rsid w:val="00580377"/>
    <w:rsid w:val="005831CC"/>
    <w:rsid w:val="005836F8"/>
    <w:rsid w:val="005854B4"/>
    <w:rsid w:val="005918FA"/>
    <w:rsid w:val="005920C0"/>
    <w:rsid w:val="005922BB"/>
    <w:rsid w:val="00592637"/>
    <w:rsid w:val="00592A86"/>
    <w:rsid w:val="00593A18"/>
    <w:rsid w:val="00594431"/>
    <w:rsid w:val="00594B6A"/>
    <w:rsid w:val="00595462"/>
    <w:rsid w:val="00595A76"/>
    <w:rsid w:val="005A0143"/>
    <w:rsid w:val="005A072D"/>
    <w:rsid w:val="005A1449"/>
    <w:rsid w:val="005A1706"/>
    <w:rsid w:val="005A18BA"/>
    <w:rsid w:val="005A214F"/>
    <w:rsid w:val="005A2860"/>
    <w:rsid w:val="005A38F7"/>
    <w:rsid w:val="005A462E"/>
    <w:rsid w:val="005A5829"/>
    <w:rsid w:val="005A596E"/>
    <w:rsid w:val="005A5C0E"/>
    <w:rsid w:val="005A6012"/>
    <w:rsid w:val="005A621E"/>
    <w:rsid w:val="005A686E"/>
    <w:rsid w:val="005A7A00"/>
    <w:rsid w:val="005B0F3E"/>
    <w:rsid w:val="005B3D35"/>
    <w:rsid w:val="005B4801"/>
    <w:rsid w:val="005B4DBB"/>
    <w:rsid w:val="005B4E96"/>
    <w:rsid w:val="005B65EB"/>
    <w:rsid w:val="005C0CA3"/>
    <w:rsid w:val="005C0E41"/>
    <w:rsid w:val="005C1855"/>
    <w:rsid w:val="005C23A4"/>
    <w:rsid w:val="005C36A9"/>
    <w:rsid w:val="005C7A61"/>
    <w:rsid w:val="005C7BE7"/>
    <w:rsid w:val="005D1467"/>
    <w:rsid w:val="005D1CDF"/>
    <w:rsid w:val="005D289A"/>
    <w:rsid w:val="005D2BB7"/>
    <w:rsid w:val="005D3226"/>
    <w:rsid w:val="005D4B1D"/>
    <w:rsid w:val="005E1DBA"/>
    <w:rsid w:val="005E5EBA"/>
    <w:rsid w:val="005E61A8"/>
    <w:rsid w:val="005E705E"/>
    <w:rsid w:val="005E7868"/>
    <w:rsid w:val="005F0A62"/>
    <w:rsid w:val="005F2A27"/>
    <w:rsid w:val="005F5ED7"/>
    <w:rsid w:val="005F6419"/>
    <w:rsid w:val="00603A81"/>
    <w:rsid w:val="0060543D"/>
    <w:rsid w:val="00605AEA"/>
    <w:rsid w:val="00606621"/>
    <w:rsid w:val="00606C0C"/>
    <w:rsid w:val="0060787C"/>
    <w:rsid w:val="006100EA"/>
    <w:rsid w:val="006104DD"/>
    <w:rsid w:val="006106AD"/>
    <w:rsid w:val="0061070F"/>
    <w:rsid w:val="00610AD4"/>
    <w:rsid w:val="0061116E"/>
    <w:rsid w:val="00611E29"/>
    <w:rsid w:val="006128C8"/>
    <w:rsid w:val="00612BC8"/>
    <w:rsid w:val="006130B5"/>
    <w:rsid w:val="00615863"/>
    <w:rsid w:val="006159B2"/>
    <w:rsid w:val="00615B4B"/>
    <w:rsid w:val="00617400"/>
    <w:rsid w:val="006175D4"/>
    <w:rsid w:val="006175DF"/>
    <w:rsid w:val="00621AD3"/>
    <w:rsid w:val="006232F6"/>
    <w:rsid w:val="00623E2E"/>
    <w:rsid w:val="00624683"/>
    <w:rsid w:val="00626446"/>
    <w:rsid w:val="006267DB"/>
    <w:rsid w:val="0063047B"/>
    <w:rsid w:val="00631C72"/>
    <w:rsid w:val="00632D29"/>
    <w:rsid w:val="0063539B"/>
    <w:rsid w:val="00636A42"/>
    <w:rsid w:val="0064279A"/>
    <w:rsid w:val="0064296B"/>
    <w:rsid w:val="00642D07"/>
    <w:rsid w:val="00642DD5"/>
    <w:rsid w:val="00643664"/>
    <w:rsid w:val="006442D1"/>
    <w:rsid w:val="006463AF"/>
    <w:rsid w:val="006479F3"/>
    <w:rsid w:val="00650DDF"/>
    <w:rsid w:val="0065164C"/>
    <w:rsid w:val="00652FD2"/>
    <w:rsid w:val="0065422C"/>
    <w:rsid w:val="00654E9C"/>
    <w:rsid w:val="00657006"/>
    <w:rsid w:val="00657CD3"/>
    <w:rsid w:val="0066163C"/>
    <w:rsid w:val="006627D9"/>
    <w:rsid w:val="00664950"/>
    <w:rsid w:val="0066535A"/>
    <w:rsid w:val="00667165"/>
    <w:rsid w:val="006703CF"/>
    <w:rsid w:val="00672237"/>
    <w:rsid w:val="0067426A"/>
    <w:rsid w:val="00675C35"/>
    <w:rsid w:val="00681F72"/>
    <w:rsid w:val="00683220"/>
    <w:rsid w:val="00683D13"/>
    <w:rsid w:val="0068460E"/>
    <w:rsid w:val="00686DDB"/>
    <w:rsid w:val="0068751D"/>
    <w:rsid w:val="006876D1"/>
    <w:rsid w:val="00687FA0"/>
    <w:rsid w:val="00687FE7"/>
    <w:rsid w:val="006911A8"/>
    <w:rsid w:val="006912F6"/>
    <w:rsid w:val="0069167F"/>
    <w:rsid w:val="0069240D"/>
    <w:rsid w:val="00692B9F"/>
    <w:rsid w:val="00693E20"/>
    <w:rsid w:val="00694198"/>
    <w:rsid w:val="00694583"/>
    <w:rsid w:val="00694CA4"/>
    <w:rsid w:val="006A27C9"/>
    <w:rsid w:val="006A3C11"/>
    <w:rsid w:val="006A6EF9"/>
    <w:rsid w:val="006A755A"/>
    <w:rsid w:val="006B2495"/>
    <w:rsid w:val="006B2BB1"/>
    <w:rsid w:val="006B2CFB"/>
    <w:rsid w:val="006B33B0"/>
    <w:rsid w:val="006B4A37"/>
    <w:rsid w:val="006B5948"/>
    <w:rsid w:val="006B7010"/>
    <w:rsid w:val="006B7511"/>
    <w:rsid w:val="006C19E5"/>
    <w:rsid w:val="006C1F6F"/>
    <w:rsid w:val="006C3095"/>
    <w:rsid w:val="006C4A94"/>
    <w:rsid w:val="006C4D10"/>
    <w:rsid w:val="006C59CA"/>
    <w:rsid w:val="006C5DD9"/>
    <w:rsid w:val="006C6034"/>
    <w:rsid w:val="006D2B52"/>
    <w:rsid w:val="006D45EA"/>
    <w:rsid w:val="006D4805"/>
    <w:rsid w:val="006D579C"/>
    <w:rsid w:val="006E0D50"/>
    <w:rsid w:val="006E1151"/>
    <w:rsid w:val="006E1639"/>
    <w:rsid w:val="006E187B"/>
    <w:rsid w:val="006E1E8E"/>
    <w:rsid w:val="006E2445"/>
    <w:rsid w:val="006E36C3"/>
    <w:rsid w:val="006E3902"/>
    <w:rsid w:val="006E4729"/>
    <w:rsid w:val="006E6311"/>
    <w:rsid w:val="006E660B"/>
    <w:rsid w:val="006E7008"/>
    <w:rsid w:val="006E7A69"/>
    <w:rsid w:val="006F273F"/>
    <w:rsid w:val="006F4555"/>
    <w:rsid w:val="006F4791"/>
    <w:rsid w:val="006F4A34"/>
    <w:rsid w:val="006F4CDF"/>
    <w:rsid w:val="006F4DA6"/>
    <w:rsid w:val="006F4FAF"/>
    <w:rsid w:val="006F539D"/>
    <w:rsid w:val="006F69BA"/>
    <w:rsid w:val="00700CE9"/>
    <w:rsid w:val="00701CB8"/>
    <w:rsid w:val="00702055"/>
    <w:rsid w:val="007026E0"/>
    <w:rsid w:val="0070521A"/>
    <w:rsid w:val="007070E3"/>
    <w:rsid w:val="00710250"/>
    <w:rsid w:val="00711E66"/>
    <w:rsid w:val="00712D98"/>
    <w:rsid w:val="00713F6D"/>
    <w:rsid w:val="007145FF"/>
    <w:rsid w:val="00714F65"/>
    <w:rsid w:val="007152FD"/>
    <w:rsid w:val="00715B2A"/>
    <w:rsid w:val="00715F1C"/>
    <w:rsid w:val="0071604E"/>
    <w:rsid w:val="0071622C"/>
    <w:rsid w:val="00716AFF"/>
    <w:rsid w:val="007219FF"/>
    <w:rsid w:val="00721B4C"/>
    <w:rsid w:val="00721CFC"/>
    <w:rsid w:val="00723752"/>
    <w:rsid w:val="0072692F"/>
    <w:rsid w:val="00731968"/>
    <w:rsid w:val="007350CF"/>
    <w:rsid w:val="00737EAA"/>
    <w:rsid w:val="00740872"/>
    <w:rsid w:val="00742A9F"/>
    <w:rsid w:val="00743262"/>
    <w:rsid w:val="00744F09"/>
    <w:rsid w:val="00744FD3"/>
    <w:rsid w:val="007450F1"/>
    <w:rsid w:val="00745EA1"/>
    <w:rsid w:val="00746A3F"/>
    <w:rsid w:val="007475E8"/>
    <w:rsid w:val="00750B30"/>
    <w:rsid w:val="00751515"/>
    <w:rsid w:val="00753486"/>
    <w:rsid w:val="0075390E"/>
    <w:rsid w:val="00753C12"/>
    <w:rsid w:val="0075410A"/>
    <w:rsid w:val="0075423B"/>
    <w:rsid w:val="00756F46"/>
    <w:rsid w:val="0075793C"/>
    <w:rsid w:val="007602AE"/>
    <w:rsid w:val="00761165"/>
    <w:rsid w:val="007623B1"/>
    <w:rsid w:val="007626B7"/>
    <w:rsid w:val="00762B0B"/>
    <w:rsid w:val="007632FE"/>
    <w:rsid w:val="007664F2"/>
    <w:rsid w:val="00766DC3"/>
    <w:rsid w:val="00766E85"/>
    <w:rsid w:val="00771E15"/>
    <w:rsid w:val="0077383F"/>
    <w:rsid w:val="00774314"/>
    <w:rsid w:val="00774BDB"/>
    <w:rsid w:val="00775072"/>
    <w:rsid w:val="007753A2"/>
    <w:rsid w:val="00775E28"/>
    <w:rsid w:val="00777F84"/>
    <w:rsid w:val="0078084E"/>
    <w:rsid w:val="00780EBC"/>
    <w:rsid w:val="0078212B"/>
    <w:rsid w:val="007821A5"/>
    <w:rsid w:val="007844C0"/>
    <w:rsid w:val="00784DF6"/>
    <w:rsid w:val="00785232"/>
    <w:rsid w:val="0078634A"/>
    <w:rsid w:val="0078780B"/>
    <w:rsid w:val="00787BEB"/>
    <w:rsid w:val="00787D2A"/>
    <w:rsid w:val="00793008"/>
    <w:rsid w:val="007930D8"/>
    <w:rsid w:val="007A0447"/>
    <w:rsid w:val="007A17BD"/>
    <w:rsid w:val="007A25A7"/>
    <w:rsid w:val="007A30D9"/>
    <w:rsid w:val="007A35CD"/>
    <w:rsid w:val="007A3801"/>
    <w:rsid w:val="007A3EFF"/>
    <w:rsid w:val="007A405F"/>
    <w:rsid w:val="007B186C"/>
    <w:rsid w:val="007B26EE"/>
    <w:rsid w:val="007B2E4D"/>
    <w:rsid w:val="007B3C3D"/>
    <w:rsid w:val="007B66D4"/>
    <w:rsid w:val="007C063A"/>
    <w:rsid w:val="007C0897"/>
    <w:rsid w:val="007C12B6"/>
    <w:rsid w:val="007C1696"/>
    <w:rsid w:val="007C181D"/>
    <w:rsid w:val="007C3ED0"/>
    <w:rsid w:val="007C4395"/>
    <w:rsid w:val="007C5971"/>
    <w:rsid w:val="007C5A6E"/>
    <w:rsid w:val="007C7966"/>
    <w:rsid w:val="007C7F85"/>
    <w:rsid w:val="007C7FC9"/>
    <w:rsid w:val="007D360E"/>
    <w:rsid w:val="007D3C61"/>
    <w:rsid w:val="007D450B"/>
    <w:rsid w:val="007D4A19"/>
    <w:rsid w:val="007D582F"/>
    <w:rsid w:val="007E25BA"/>
    <w:rsid w:val="007E30B1"/>
    <w:rsid w:val="007E3835"/>
    <w:rsid w:val="007E396B"/>
    <w:rsid w:val="007E3EF3"/>
    <w:rsid w:val="007E41AA"/>
    <w:rsid w:val="007E4538"/>
    <w:rsid w:val="007E65BB"/>
    <w:rsid w:val="007F0055"/>
    <w:rsid w:val="007F08A4"/>
    <w:rsid w:val="007F2D18"/>
    <w:rsid w:val="007F54B9"/>
    <w:rsid w:val="007F66A8"/>
    <w:rsid w:val="008006C0"/>
    <w:rsid w:val="00803C10"/>
    <w:rsid w:val="00804A3C"/>
    <w:rsid w:val="00804A9B"/>
    <w:rsid w:val="00804F16"/>
    <w:rsid w:val="008060F5"/>
    <w:rsid w:val="00806A76"/>
    <w:rsid w:val="00810F52"/>
    <w:rsid w:val="00811237"/>
    <w:rsid w:val="00811C9D"/>
    <w:rsid w:val="00812A85"/>
    <w:rsid w:val="00816649"/>
    <w:rsid w:val="00816C80"/>
    <w:rsid w:val="00817811"/>
    <w:rsid w:val="008211FA"/>
    <w:rsid w:val="00821498"/>
    <w:rsid w:val="00825EA2"/>
    <w:rsid w:val="008263CB"/>
    <w:rsid w:val="00827C4C"/>
    <w:rsid w:val="00833A8D"/>
    <w:rsid w:val="008347B4"/>
    <w:rsid w:val="008348A0"/>
    <w:rsid w:val="008366F0"/>
    <w:rsid w:val="0084147B"/>
    <w:rsid w:val="00841BCD"/>
    <w:rsid w:val="00842F23"/>
    <w:rsid w:val="008430C6"/>
    <w:rsid w:val="008469A6"/>
    <w:rsid w:val="00851A8E"/>
    <w:rsid w:val="00852A2C"/>
    <w:rsid w:val="00852A74"/>
    <w:rsid w:val="0085357F"/>
    <w:rsid w:val="0085365B"/>
    <w:rsid w:val="008537B1"/>
    <w:rsid w:val="008549C6"/>
    <w:rsid w:val="0085566E"/>
    <w:rsid w:val="008571D6"/>
    <w:rsid w:val="00860D96"/>
    <w:rsid w:val="00862894"/>
    <w:rsid w:val="00863A11"/>
    <w:rsid w:val="008664D8"/>
    <w:rsid w:val="008700C2"/>
    <w:rsid w:val="008756D3"/>
    <w:rsid w:val="00876FC4"/>
    <w:rsid w:val="008775FD"/>
    <w:rsid w:val="00877E10"/>
    <w:rsid w:val="00880934"/>
    <w:rsid w:val="0088128A"/>
    <w:rsid w:val="008815C3"/>
    <w:rsid w:val="00881A87"/>
    <w:rsid w:val="008826C1"/>
    <w:rsid w:val="008836B9"/>
    <w:rsid w:val="00883DFD"/>
    <w:rsid w:val="0088506E"/>
    <w:rsid w:val="00885F63"/>
    <w:rsid w:val="008866F8"/>
    <w:rsid w:val="00897954"/>
    <w:rsid w:val="008A0241"/>
    <w:rsid w:val="008A0E6D"/>
    <w:rsid w:val="008A0F00"/>
    <w:rsid w:val="008A1BF7"/>
    <w:rsid w:val="008A1FCD"/>
    <w:rsid w:val="008A23AC"/>
    <w:rsid w:val="008A48AF"/>
    <w:rsid w:val="008A5B0E"/>
    <w:rsid w:val="008A7188"/>
    <w:rsid w:val="008A7234"/>
    <w:rsid w:val="008A756E"/>
    <w:rsid w:val="008B08E8"/>
    <w:rsid w:val="008B0961"/>
    <w:rsid w:val="008B2A77"/>
    <w:rsid w:val="008B54D1"/>
    <w:rsid w:val="008B5712"/>
    <w:rsid w:val="008B64A8"/>
    <w:rsid w:val="008B67BE"/>
    <w:rsid w:val="008C1151"/>
    <w:rsid w:val="008C3B33"/>
    <w:rsid w:val="008C40FB"/>
    <w:rsid w:val="008C7A63"/>
    <w:rsid w:val="008D0EA3"/>
    <w:rsid w:val="008D1012"/>
    <w:rsid w:val="008D1C83"/>
    <w:rsid w:val="008D5FC8"/>
    <w:rsid w:val="008D66A7"/>
    <w:rsid w:val="008D74BE"/>
    <w:rsid w:val="008E22AA"/>
    <w:rsid w:val="008E282E"/>
    <w:rsid w:val="008E66FD"/>
    <w:rsid w:val="008E6DC5"/>
    <w:rsid w:val="008E6FBA"/>
    <w:rsid w:val="008F4495"/>
    <w:rsid w:val="008F70F7"/>
    <w:rsid w:val="008F7575"/>
    <w:rsid w:val="00900206"/>
    <w:rsid w:val="0090091A"/>
    <w:rsid w:val="009042BD"/>
    <w:rsid w:val="00904CF0"/>
    <w:rsid w:val="009060B1"/>
    <w:rsid w:val="009075FC"/>
    <w:rsid w:val="00907A9D"/>
    <w:rsid w:val="00911ADB"/>
    <w:rsid w:val="00912775"/>
    <w:rsid w:val="00913B8C"/>
    <w:rsid w:val="0091559E"/>
    <w:rsid w:val="0091637F"/>
    <w:rsid w:val="009229E1"/>
    <w:rsid w:val="00923206"/>
    <w:rsid w:val="009243D1"/>
    <w:rsid w:val="00927A72"/>
    <w:rsid w:val="0093138E"/>
    <w:rsid w:val="00934C6A"/>
    <w:rsid w:val="00936159"/>
    <w:rsid w:val="00936317"/>
    <w:rsid w:val="009369D7"/>
    <w:rsid w:val="00940EE3"/>
    <w:rsid w:val="00941F49"/>
    <w:rsid w:val="009440FA"/>
    <w:rsid w:val="00945864"/>
    <w:rsid w:val="00945C53"/>
    <w:rsid w:val="00947041"/>
    <w:rsid w:val="0094737D"/>
    <w:rsid w:val="00951AB9"/>
    <w:rsid w:val="00952D5C"/>
    <w:rsid w:val="00953B45"/>
    <w:rsid w:val="00953E62"/>
    <w:rsid w:val="00957D38"/>
    <w:rsid w:val="009603C2"/>
    <w:rsid w:val="0096127D"/>
    <w:rsid w:val="00962D23"/>
    <w:rsid w:val="00962FF0"/>
    <w:rsid w:val="0096305B"/>
    <w:rsid w:val="00963966"/>
    <w:rsid w:val="00971D28"/>
    <w:rsid w:val="00972F8E"/>
    <w:rsid w:val="00974877"/>
    <w:rsid w:val="00974978"/>
    <w:rsid w:val="00975D04"/>
    <w:rsid w:val="00977E1D"/>
    <w:rsid w:val="00977FF8"/>
    <w:rsid w:val="009827D3"/>
    <w:rsid w:val="009830DF"/>
    <w:rsid w:val="00983244"/>
    <w:rsid w:val="009854FB"/>
    <w:rsid w:val="0098774C"/>
    <w:rsid w:val="0099070F"/>
    <w:rsid w:val="00993F60"/>
    <w:rsid w:val="009956A6"/>
    <w:rsid w:val="009957BB"/>
    <w:rsid w:val="0099752B"/>
    <w:rsid w:val="009A020E"/>
    <w:rsid w:val="009A0C9B"/>
    <w:rsid w:val="009A258E"/>
    <w:rsid w:val="009A2CFC"/>
    <w:rsid w:val="009A32B2"/>
    <w:rsid w:val="009A6B70"/>
    <w:rsid w:val="009A72A2"/>
    <w:rsid w:val="009A7FEF"/>
    <w:rsid w:val="009B0573"/>
    <w:rsid w:val="009B151E"/>
    <w:rsid w:val="009B185F"/>
    <w:rsid w:val="009B190B"/>
    <w:rsid w:val="009B30E5"/>
    <w:rsid w:val="009B3621"/>
    <w:rsid w:val="009B7B4B"/>
    <w:rsid w:val="009B7C21"/>
    <w:rsid w:val="009B7C43"/>
    <w:rsid w:val="009C0291"/>
    <w:rsid w:val="009C2722"/>
    <w:rsid w:val="009C3462"/>
    <w:rsid w:val="009C46D8"/>
    <w:rsid w:val="009C6450"/>
    <w:rsid w:val="009C776A"/>
    <w:rsid w:val="009D1963"/>
    <w:rsid w:val="009D1DA9"/>
    <w:rsid w:val="009D2B83"/>
    <w:rsid w:val="009D3A11"/>
    <w:rsid w:val="009D4955"/>
    <w:rsid w:val="009D5896"/>
    <w:rsid w:val="009D7D04"/>
    <w:rsid w:val="009E50F5"/>
    <w:rsid w:val="009E52F8"/>
    <w:rsid w:val="009E5898"/>
    <w:rsid w:val="009E6258"/>
    <w:rsid w:val="009E75BC"/>
    <w:rsid w:val="009F227F"/>
    <w:rsid w:val="009F242B"/>
    <w:rsid w:val="009F4B4F"/>
    <w:rsid w:val="009F561F"/>
    <w:rsid w:val="009F5694"/>
    <w:rsid w:val="009F6AA4"/>
    <w:rsid w:val="00A016FA"/>
    <w:rsid w:val="00A02985"/>
    <w:rsid w:val="00A02B82"/>
    <w:rsid w:val="00A02D28"/>
    <w:rsid w:val="00A02D8A"/>
    <w:rsid w:val="00A03F6C"/>
    <w:rsid w:val="00A0427C"/>
    <w:rsid w:val="00A04992"/>
    <w:rsid w:val="00A0595B"/>
    <w:rsid w:val="00A05EB3"/>
    <w:rsid w:val="00A07C77"/>
    <w:rsid w:val="00A11DF4"/>
    <w:rsid w:val="00A12080"/>
    <w:rsid w:val="00A12231"/>
    <w:rsid w:val="00A147AA"/>
    <w:rsid w:val="00A155BA"/>
    <w:rsid w:val="00A15DA5"/>
    <w:rsid w:val="00A21D71"/>
    <w:rsid w:val="00A22A8F"/>
    <w:rsid w:val="00A22B33"/>
    <w:rsid w:val="00A22B78"/>
    <w:rsid w:val="00A23459"/>
    <w:rsid w:val="00A249FF"/>
    <w:rsid w:val="00A2533F"/>
    <w:rsid w:val="00A25470"/>
    <w:rsid w:val="00A25AE5"/>
    <w:rsid w:val="00A27491"/>
    <w:rsid w:val="00A27BB3"/>
    <w:rsid w:val="00A27D9F"/>
    <w:rsid w:val="00A300B2"/>
    <w:rsid w:val="00A308EF"/>
    <w:rsid w:val="00A3252D"/>
    <w:rsid w:val="00A32D27"/>
    <w:rsid w:val="00A33B73"/>
    <w:rsid w:val="00A34462"/>
    <w:rsid w:val="00A35046"/>
    <w:rsid w:val="00A35268"/>
    <w:rsid w:val="00A3554C"/>
    <w:rsid w:val="00A357ED"/>
    <w:rsid w:val="00A37002"/>
    <w:rsid w:val="00A37B92"/>
    <w:rsid w:val="00A41ADB"/>
    <w:rsid w:val="00A4355E"/>
    <w:rsid w:val="00A45666"/>
    <w:rsid w:val="00A50E62"/>
    <w:rsid w:val="00A51782"/>
    <w:rsid w:val="00A546B9"/>
    <w:rsid w:val="00A5702A"/>
    <w:rsid w:val="00A62CAB"/>
    <w:rsid w:val="00A64B89"/>
    <w:rsid w:val="00A6593F"/>
    <w:rsid w:val="00A66ECF"/>
    <w:rsid w:val="00A67B59"/>
    <w:rsid w:val="00A70459"/>
    <w:rsid w:val="00A70932"/>
    <w:rsid w:val="00A713F0"/>
    <w:rsid w:val="00A73531"/>
    <w:rsid w:val="00A74329"/>
    <w:rsid w:val="00A76D2D"/>
    <w:rsid w:val="00A7727F"/>
    <w:rsid w:val="00A818F1"/>
    <w:rsid w:val="00A838DC"/>
    <w:rsid w:val="00A84C4E"/>
    <w:rsid w:val="00A84CD2"/>
    <w:rsid w:val="00A850B6"/>
    <w:rsid w:val="00A871FB"/>
    <w:rsid w:val="00A8793D"/>
    <w:rsid w:val="00A87F82"/>
    <w:rsid w:val="00A9108A"/>
    <w:rsid w:val="00A92BCD"/>
    <w:rsid w:val="00A94DA3"/>
    <w:rsid w:val="00A96C73"/>
    <w:rsid w:val="00AA06A6"/>
    <w:rsid w:val="00AA0E67"/>
    <w:rsid w:val="00AA1B0E"/>
    <w:rsid w:val="00AA31FE"/>
    <w:rsid w:val="00AA47B6"/>
    <w:rsid w:val="00AA7F42"/>
    <w:rsid w:val="00AB0B4C"/>
    <w:rsid w:val="00AB24C8"/>
    <w:rsid w:val="00AB4154"/>
    <w:rsid w:val="00AB5133"/>
    <w:rsid w:val="00AB6496"/>
    <w:rsid w:val="00AB6644"/>
    <w:rsid w:val="00AC163B"/>
    <w:rsid w:val="00AC532E"/>
    <w:rsid w:val="00AC5945"/>
    <w:rsid w:val="00AC5CA7"/>
    <w:rsid w:val="00AC5D0B"/>
    <w:rsid w:val="00AC5FA8"/>
    <w:rsid w:val="00AC6058"/>
    <w:rsid w:val="00AD27B9"/>
    <w:rsid w:val="00AD3B66"/>
    <w:rsid w:val="00AD3C16"/>
    <w:rsid w:val="00AD3C97"/>
    <w:rsid w:val="00AD59CB"/>
    <w:rsid w:val="00AD5D33"/>
    <w:rsid w:val="00AD64FE"/>
    <w:rsid w:val="00AD6EF4"/>
    <w:rsid w:val="00AD77B6"/>
    <w:rsid w:val="00AE145D"/>
    <w:rsid w:val="00AE207C"/>
    <w:rsid w:val="00AE24F1"/>
    <w:rsid w:val="00AE28A6"/>
    <w:rsid w:val="00AE2BA5"/>
    <w:rsid w:val="00AE39E6"/>
    <w:rsid w:val="00AE52C0"/>
    <w:rsid w:val="00AE56B1"/>
    <w:rsid w:val="00AE6D09"/>
    <w:rsid w:val="00AE7A93"/>
    <w:rsid w:val="00AE7B75"/>
    <w:rsid w:val="00AF23F7"/>
    <w:rsid w:val="00AF2483"/>
    <w:rsid w:val="00AF3BD0"/>
    <w:rsid w:val="00AF6210"/>
    <w:rsid w:val="00AF6CD8"/>
    <w:rsid w:val="00AF6D63"/>
    <w:rsid w:val="00AF7A7C"/>
    <w:rsid w:val="00B01690"/>
    <w:rsid w:val="00B02F38"/>
    <w:rsid w:val="00B03BB1"/>
    <w:rsid w:val="00B0527B"/>
    <w:rsid w:val="00B0639A"/>
    <w:rsid w:val="00B0691A"/>
    <w:rsid w:val="00B06DFD"/>
    <w:rsid w:val="00B11CE5"/>
    <w:rsid w:val="00B11F13"/>
    <w:rsid w:val="00B12C41"/>
    <w:rsid w:val="00B12EFE"/>
    <w:rsid w:val="00B135F3"/>
    <w:rsid w:val="00B1398C"/>
    <w:rsid w:val="00B146C0"/>
    <w:rsid w:val="00B1603F"/>
    <w:rsid w:val="00B1658D"/>
    <w:rsid w:val="00B169D4"/>
    <w:rsid w:val="00B16CDC"/>
    <w:rsid w:val="00B178C5"/>
    <w:rsid w:val="00B2365A"/>
    <w:rsid w:val="00B24543"/>
    <w:rsid w:val="00B25573"/>
    <w:rsid w:val="00B309B6"/>
    <w:rsid w:val="00B3367A"/>
    <w:rsid w:val="00B34B9F"/>
    <w:rsid w:val="00B35F1C"/>
    <w:rsid w:val="00B400C8"/>
    <w:rsid w:val="00B40320"/>
    <w:rsid w:val="00B408B6"/>
    <w:rsid w:val="00B40F27"/>
    <w:rsid w:val="00B4460A"/>
    <w:rsid w:val="00B4469A"/>
    <w:rsid w:val="00B45BC5"/>
    <w:rsid w:val="00B45EFE"/>
    <w:rsid w:val="00B50957"/>
    <w:rsid w:val="00B50A1A"/>
    <w:rsid w:val="00B542DA"/>
    <w:rsid w:val="00B5571C"/>
    <w:rsid w:val="00B55856"/>
    <w:rsid w:val="00B5758B"/>
    <w:rsid w:val="00B60163"/>
    <w:rsid w:val="00B60EB6"/>
    <w:rsid w:val="00B61BB8"/>
    <w:rsid w:val="00B62337"/>
    <w:rsid w:val="00B638EE"/>
    <w:rsid w:val="00B65082"/>
    <w:rsid w:val="00B65FA9"/>
    <w:rsid w:val="00B70428"/>
    <w:rsid w:val="00B716AA"/>
    <w:rsid w:val="00B71F1A"/>
    <w:rsid w:val="00B72994"/>
    <w:rsid w:val="00B73862"/>
    <w:rsid w:val="00B73F43"/>
    <w:rsid w:val="00B7541E"/>
    <w:rsid w:val="00B763A6"/>
    <w:rsid w:val="00B77095"/>
    <w:rsid w:val="00B811F1"/>
    <w:rsid w:val="00B8153C"/>
    <w:rsid w:val="00B81EC4"/>
    <w:rsid w:val="00B8686F"/>
    <w:rsid w:val="00B86A12"/>
    <w:rsid w:val="00B86B19"/>
    <w:rsid w:val="00B872B6"/>
    <w:rsid w:val="00B87B51"/>
    <w:rsid w:val="00B907A5"/>
    <w:rsid w:val="00B90FDF"/>
    <w:rsid w:val="00B91338"/>
    <w:rsid w:val="00B92263"/>
    <w:rsid w:val="00B949DB"/>
    <w:rsid w:val="00B9510C"/>
    <w:rsid w:val="00B96A25"/>
    <w:rsid w:val="00B9707B"/>
    <w:rsid w:val="00BA074A"/>
    <w:rsid w:val="00BA1507"/>
    <w:rsid w:val="00BA214E"/>
    <w:rsid w:val="00BA2B55"/>
    <w:rsid w:val="00BA3E02"/>
    <w:rsid w:val="00BA6B66"/>
    <w:rsid w:val="00BA6E48"/>
    <w:rsid w:val="00BB1067"/>
    <w:rsid w:val="00BB2409"/>
    <w:rsid w:val="00BB2481"/>
    <w:rsid w:val="00BB343C"/>
    <w:rsid w:val="00BB3C61"/>
    <w:rsid w:val="00BB4DA2"/>
    <w:rsid w:val="00BB4E61"/>
    <w:rsid w:val="00BB5D3C"/>
    <w:rsid w:val="00BB6F8A"/>
    <w:rsid w:val="00BC1262"/>
    <w:rsid w:val="00BC2A9E"/>
    <w:rsid w:val="00BC46B1"/>
    <w:rsid w:val="00BC4981"/>
    <w:rsid w:val="00BC49EB"/>
    <w:rsid w:val="00BC4C2E"/>
    <w:rsid w:val="00BC5A03"/>
    <w:rsid w:val="00BD29C4"/>
    <w:rsid w:val="00BE0AF6"/>
    <w:rsid w:val="00BE0B56"/>
    <w:rsid w:val="00BE14C4"/>
    <w:rsid w:val="00BE1A64"/>
    <w:rsid w:val="00BE1F03"/>
    <w:rsid w:val="00BE2348"/>
    <w:rsid w:val="00BE2BB0"/>
    <w:rsid w:val="00BE3CA8"/>
    <w:rsid w:val="00BE46FA"/>
    <w:rsid w:val="00BE550E"/>
    <w:rsid w:val="00BE58A7"/>
    <w:rsid w:val="00BE5C57"/>
    <w:rsid w:val="00BE5E97"/>
    <w:rsid w:val="00BF0187"/>
    <w:rsid w:val="00BF2218"/>
    <w:rsid w:val="00BF2405"/>
    <w:rsid w:val="00BF2D91"/>
    <w:rsid w:val="00BF3636"/>
    <w:rsid w:val="00BF47AB"/>
    <w:rsid w:val="00BF4B78"/>
    <w:rsid w:val="00BF4FE7"/>
    <w:rsid w:val="00BF6363"/>
    <w:rsid w:val="00BF7CC7"/>
    <w:rsid w:val="00C0052F"/>
    <w:rsid w:val="00C00823"/>
    <w:rsid w:val="00C028EA"/>
    <w:rsid w:val="00C0426B"/>
    <w:rsid w:val="00C045DF"/>
    <w:rsid w:val="00C050DB"/>
    <w:rsid w:val="00C05342"/>
    <w:rsid w:val="00C055F6"/>
    <w:rsid w:val="00C10D1F"/>
    <w:rsid w:val="00C12DCA"/>
    <w:rsid w:val="00C1341E"/>
    <w:rsid w:val="00C14C37"/>
    <w:rsid w:val="00C15312"/>
    <w:rsid w:val="00C17BB8"/>
    <w:rsid w:val="00C22AD5"/>
    <w:rsid w:val="00C22D5B"/>
    <w:rsid w:val="00C22FD6"/>
    <w:rsid w:val="00C23D7D"/>
    <w:rsid w:val="00C25FC9"/>
    <w:rsid w:val="00C26D43"/>
    <w:rsid w:val="00C305AF"/>
    <w:rsid w:val="00C3089D"/>
    <w:rsid w:val="00C365E7"/>
    <w:rsid w:val="00C3708C"/>
    <w:rsid w:val="00C41760"/>
    <w:rsid w:val="00C41A04"/>
    <w:rsid w:val="00C427CC"/>
    <w:rsid w:val="00C46548"/>
    <w:rsid w:val="00C46D2A"/>
    <w:rsid w:val="00C51183"/>
    <w:rsid w:val="00C52EEF"/>
    <w:rsid w:val="00C540E5"/>
    <w:rsid w:val="00C558CC"/>
    <w:rsid w:val="00C55B04"/>
    <w:rsid w:val="00C574D5"/>
    <w:rsid w:val="00C6089F"/>
    <w:rsid w:val="00C617C5"/>
    <w:rsid w:val="00C625F6"/>
    <w:rsid w:val="00C638C5"/>
    <w:rsid w:val="00C63FD9"/>
    <w:rsid w:val="00C661B7"/>
    <w:rsid w:val="00C67212"/>
    <w:rsid w:val="00C71A69"/>
    <w:rsid w:val="00C72540"/>
    <w:rsid w:val="00C73C67"/>
    <w:rsid w:val="00C73F32"/>
    <w:rsid w:val="00C747A8"/>
    <w:rsid w:val="00C772F9"/>
    <w:rsid w:val="00C7790B"/>
    <w:rsid w:val="00C77D0D"/>
    <w:rsid w:val="00C82467"/>
    <w:rsid w:val="00C82A16"/>
    <w:rsid w:val="00C85028"/>
    <w:rsid w:val="00C87462"/>
    <w:rsid w:val="00C87BB5"/>
    <w:rsid w:val="00C903B0"/>
    <w:rsid w:val="00C90EAC"/>
    <w:rsid w:val="00C91FAE"/>
    <w:rsid w:val="00C93C69"/>
    <w:rsid w:val="00C94D92"/>
    <w:rsid w:val="00C9637A"/>
    <w:rsid w:val="00C96947"/>
    <w:rsid w:val="00C97B2D"/>
    <w:rsid w:val="00C97F63"/>
    <w:rsid w:val="00CA0A5C"/>
    <w:rsid w:val="00CA0F09"/>
    <w:rsid w:val="00CA14C6"/>
    <w:rsid w:val="00CA180C"/>
    <w:rsid w:val="00CA1C1E"/>
    <w:rsid w:val="00CA26F6"/>
    <w:rsid w:val="00CA29FF"/>
    <w:rsid w:val="00CA5E25"/>
    <w:rsid w:val="00CA6C75"/>
    <w:rsid w:val="00CA73D5"/>
    <w:rsid w:val="00CA7AD0"/>
    <w:rsid w:val="00CA7E06"/>
    <w:rsid w:val="00CB22B2"/>
    <w:rsid w:val="00CB4D1F"/>
    <w:rsid w:val="00CB5CA9"/>
    <w:rsid w:val="00CB5D54"/>
    <w:rsid w:val="00CB703D"/>
    <w:rsid w:val="00CB72BC"/>
    <w:rsid w:val="00CC0D01"/>
    <w:rsid w:val="00CC207D"/>
    <w:rsid w:val="00CC3663"/>
    <w:rsid w:val="00CC3EE2"/>
    <w:rsid w:val="00CC5D6F"/>
    <w:rsid w:val="00CC5DDE"/>
    <w:rsid w:val="00CC5E10"/>
    <w:rsid w:val="00CD05A0"/>
    <w:rsid w:val="00CD2427"/>
    <w:rsid w:val="00CD2B5E"/>
    <w:rsid w:val="00CD2F44"/>
    <w:rsid w:val="00CD41A9"/>
    <w:rsid w:val="00CD49F5"/>
    <w:rsid w:val="00CD67C3"/>
    <w:rsid w:val="00CD7492"/>
    <w:rsid w:val="00CD774B"/>
    <w:rsid w:val="00CE0B9A"/>
    <w:rsid w:val="00CE22BE"/>
    <w:rsid w:val="00CE3A6B"/>
    <w:rsid w:val="00CE3A91"/>
    <w:rsid w:val="00CE701F"/>
    <w:rsid w:val="00CE7B5D"/>
    <w:rsid w:val="00CF30B5"/>
    <w:rsid w:val="00CF32DC"/>
    <w:rsid w:val="00CF42F0"/>
    <w:rsid w:val="00CF4B8F"/>
    <w:rsid w:val="00CF4D5C"/>
    <w:rsid w:val="00CF575B"/>
    <w:rsid w:val="00CF5E6F"/>
    <w:rsid w:val="00CF6E2C"/>
    <w:rsid w:val="00D00211"/>
    <w:rsid w:val="00D00ACD"/>
    <w:rsid w:val="00D01530"/>
    <w:rsid w:val="00D01DB1"/>
    <w:rsid w:val="00D06309"/>
    <w:rsid w:val="00D06D75"/>
    <w:rsid w:val="00D07563"/>
    <w:rsid w:val="00D0778C"/>
    <w:rsid w:val="00D1071F"/>
    <w:rsid w:val="00D107DB"/>
    <w:rsid w:val="00D110F6"/>
    <w:rsid w:val="00D11360"/>
    <w:rsid w:val="00D14833"/>
    <w:rsid w:val="00D15E02"/>
    <w:rsid w:val="00D16E3A"/>
    <w:rsid w:val="00D16EC1"/>
    <w:rsid w:val="00D16FC2"/>
    <w:rsid w:val="00D17883"/>
    <w:rsid w:val="00D22948"/>
    <w:rsid w:val="00D26556"/>
    <w:rsid w:val="00D27069"/>
    <w:rsid w:val="00D3322E"/>
    <w:rsid w:val="00D351EA"/>
    <w:rsid w:val="00D40288"/>
    <w:rsid w:val="00D40545"/>
    <w:rsid w:val="00D408E7"/>
    <w:rsid w:val="00D4118E"/>
    <w:rsid w:val="00D43403"/>
    <w:rsid w:val="00D4357D"/>
    <w:rsid w:val="00D51982"/>
    <w:rsid w:val="00D5270B"/>
    <w:rsid w:val="00D546B0"/>
    <w:rsid w:val="00D62E71"/>
    <w:rsid w:val="00D6430D"/>
    <w:rsid w:val="00D64B3E"/>
    <w:rsid w:val="00D64E70"/>
    <w:rsid w:val="00D6574A"/>
    <w:rsid w:val="00D660EB"/>
    <w:rsid w:val="00D66188"/>
    <w:rsid w:val="00D731F6"/>
    <w:rsid w:val="00D740CA"/>
    <w:rsid w:val="00D7636C"/>
    <w:rsid w:val="00D803E6"/>
    <w:rsid w:val="00D80723"/>
    <w:rsid w:val="00D831F8"/>
    <w:rsid w:val="00D83747"/>
    <w:rsid w:val="00D83794"/>
    <w:rsid w:val="00D84679"/>
    <w:rsid w:val="00D85728"/>
    <w:rsid w:val="00D87C41"/>
    <w:rsid w:val="00D90ED5"/>
    <w:rsid w:val="00D91C1F"/>
    <w:rsid w:val="00D951CD"/>
    <w:rsid w:val="00D95481"/>
    <w:rsid w:val="00D95E55"/>
    <w:rsid w:val="00D97699"/>
    <w:rsid w:val="00DA12CF"/>
    <w:rsid w:val="00DA14FD"/>
    <w:rsid w:val="00DA248B"/>
    <w:rsid w:val="00DA269E"/>
    <w:rsid w:val="00DA31C3"/>
    <w:rsid w:val="00DA4939"/>
    <w:rsid w:val="00DA76B3"/>
    <w:rsid w:val="00DB13CA"/>
    <w:rsid w:val="00DB2695"/>
    <w:rsid w:val="00DB2908"/>
    <w:rsid w:val="00DB7340"/>
    <w:rsid w:val="00DB7719"/>
    <w:rsid w:val="00DB7E7F"/>
    <w:rsid w:val="00DC11B5"/>
    <w:rsid w:val="00DC2C04"/>
    <w:rsid w:val="00DC3346"/>
    <w:rsid w:val="00DC3C66"/>
    <w:rsid w:val="00DC5C94"/>
    <w:rsid w:val="00DC6B94"/>
    <w:rsid w:val="00DC6F6F"/>
    <w:rsid w:val="00DC780C"/>
    <w:rsid w:val="00DC7A13"/>
    <w:rsid w:val="00DC7C9E"/>
    <w:rsid w:val="00DD22E3"/>
    <w:rsid w:val="00DD458C"/>
    <w:rsid w:val="00DD4A64"/>
    <w:rsid w:val="00DD6413"/>
    <w:rsid w:val="00DD6509"/>
    <w:rsid w:val="00DE0505"/>
    <w:rsid w:val="00DE1164"/>
    <w:rsid w:val="00DE4004"/>
    <w:rsid w:val="00DE4B73"/>
    <w:rsid w:val="00DE4ECC"/>
    <w:rsid w:val="00DE61B6"/>
    <w:rsid w:val="00DE7792"/>
    <w:rsid w:val="00DF0C47"/>
    <w:rsid w:val="00DF0CF0"/>
    <w:rsid w:val="00DF2997"/>
    <w:rsid w:val="00DF299E"/>
    <w:rsid w:val="00DF35AE"/>
    <w:rsid w:val="00DF3D88"/>
    <w:rsid w:val="00DF619E"/>
    <w:rsid w:val="00DF6837"/>
    <w:rsid w:val="00DF6DF4"/>
    <w:rsid w:val="00E0016F"/>
    <w:rsid w:val="00E04631"/>
    <w:rsid w:val="00E04F76"/>
    <w:rsid w:val="00E10BC4"/>
    <w:rsid w:val="00E10EB7"/>
    <w:rsid w:val="00E11640"/>
    <w:rsid w:val="00E11E3C"/>
    <w:rsid w:val="00E12938"/>
    <w:rsid w:val="00E138F3"/>
    <w:rsid w:val="00E13AF0"/>
    <w:rsid w:val="00E1415D"/>
    <w:rsid w:val="00E14768"/>
    <w:rsid w:val="00E17F38"/>
    <w:rsid w:val="00E2141A"/>
    <w:rsid w:val="00E21A3C"/>
    <w:rsid w:val="00E2673F"/>
    <w:rsid w:val="00E26F5B"/>
    <w:rsid w:val="00E272A3"/>
    <w:rsid w:val="00E3083F"/>
    <w:rsid w:val="00E323E9"/>
    <w:rsid w:val="00E32810"/>
    <w:rsid w:val="00E33718"/>
    <w:rsid w:val="00E34018"/>
    <w:rsid w:val="00E34192"/>
    <w:rsid w:val="00E352FD"/>
    <w:rsid w:val="00E3570E"/>
    <w:rsid w:val="00E40B8B"/>
    <w:rsid w:val="00E42A8B"/>
    <w:rsid w:val="00E4327F"/>
    <w:rsid w:val="00E437D2"/>
    <w:rsid w:val="00E44484"/>
    <w:rsid w:val="00E51542"/>
    <w:rsid w:val="00E53407"/>
    <w:rsid w:val="00E53BD6"/>
    <w:rsid w:val="00E5463C"/>
    <w:rsid w:val="00E54BAF"/>
    <w:rsid w:val="00E55751"/>
    <w:rsid w:val="00E5759B"/>
    <w:rsid w:val="00E61127"/>
    <w:rsid w:val="00E62D77"/>
    <w:rsid w:val="00E62F0E"/>
    <w:rsid w:val="00E64C63"/>
    <w:rsid w:val="00E65305"/>
    <w:rsid w:val="00E7157F"/>
    <w:rsid w:val="00E721CC"/>
    <w:rsid w:val="00E75AB3"/>
    <w:rsid w:val="00E7671B"/>
    <w:rsid w:val="00E775E7"/>
    <w:rsid w:val="00E802EC"/>
    <w:rsid w:val="00E81B36"/>
    <w:rsid w:val="00E82761"/>
    <w:rsid w:val="00E905B6"/>
    <w:rsid w:val="00E906FB"/>
    <w:rsid w:val="00E92644"/>
    <w:rsid w:val="00E9341E"/>
    <w:rsid w:val="00E957F6"/>
    <w:rsid w:val="00E95D3B"/>
    <w:rsid w:val="00E972CA"/>
    <w:rsid w:val="00E97F4D"/>
    <w:rsid w:val="00EA0588"/>
    <w:rsid w:val="00EA05DB"/>
    <w:rsid w:val="00EA14AD"/>
    <w:rsid w:val="00EA2311"/>
    <w:rsid w:val="00EA26F8"/>
    <w:rsid w:val="00EA2F10"/>
    <w:rsid w:val="00EA3DE2"/>
    <w:rsid w:val="00EA66E0"/>
    <w:rsid w:val="00EB0343"/>
    <w:rsid w:val="00EB34E1"/>
    <w:rsid w:val="00EB3850"/>
    <w:rsid w:val="00EB432D"/>
    <w:rsid w:val="00EB48BB"/>
    <w:rsid w:val="00EB597B"/>
    <w:rsid w:val="00EC0843"/>
    <w:rsid w:val="00EC51E5"/>
    <w:rsid w:val="00EC569B"/>
    <w:rsid w:val="00EC5A06"/>
    <w:rsid w:val="00EC7BC3"/>
    <w:rsid w:val="00EC7C57"/>
    <w:rsid w:val="00ED208A"/>
    <w:rsid w:val="00ED2A01"/>
    <w:rsid w:val="00ED411B"/>
    <w:rsid w:val="00ED4E11"/>
    <w:rsid w:val="00ED73B5"/>
    <w:rsid w:val="00ED7600"/>
    <w:rsid w:val="00EE0099"/>
    <w:rsid w:val="00EE0CF5"/>
    <w:rsid w:val="00EE5CC2"/>
    <w:rsid w:val="00EE7712"/>
    <w:rsid w:val="00EF28FA"/>
    <w:rsid w:val="00EF4B3B"/>
    <w:rsid w:val="00EF6073"/>
    <w:rsid w:val="00EF639D"/>
    <w:rsid w:val="00EF6679"/>
    <w:rsid w:val="00EF698B"/>
    <w:rsid w:val="00EF6ECE"/>
    <w:rsid w:val="00F0229B"/>
    <w:rsid w:val="00F0231E"/>
    <w:rsid w:val="00F02CD7"/>
    <w:rsid w:val="00F04100"/>
    <w:rsid w:val="00F04E81"/>
    <w:rsid w:val="00F056C2"/>
    <w:rsid w:val="00F06096"/>
    <w:rsid w:val="00F06958"/>
    <w:rsid w:val="00F06B0F"/>
    <w:rsid w:val="00F07EAE"/>
    <w:rsid w:val="00F10F72"/>
    <w:rsid w:val="00F11D0E"/>
    <w:rsid w:val="00F1333D"/>
    <w:rsid w:val="00F1339D"/>
    <w:rsid w:val="00F1362C"/>
    <w:rsid w:val="00F14347"/>
    <w:rsid w:val="00F155C2"/>
    <w:rsid w:val="00F17F33"/>
    <w:rsid w:val="00F20382"/>
    <w:rsid w:val="00F20600"/>
    <w:rsid w:val="00F22094"/>
    <w:rsid w:val="00F22127"/>
    <w:rsid w:val="00F224F6"/>
    <w:rsid w:val="00F24EAA"/>
    <w:rsid w:val="00F27736"/>
    <w:rsid w:val="00F32A3B"/>
    <w:rsid w:val="00F32EBC"/>
    <w:rsid w:val="00F33800"/>
    <w:rsid w:val="00F40090"/>
    <w:rsid w:val="00F4079F"/>
    <w:rsid w:val="00F414F1"/>
    <w:rsid w:val="00F44733"/>
    <w:rsid w:val="00F46473"/>
    <w:rsid w:val="00F46BAE"/>
    <w:rsid w:val="00F46F37"/>
    <w:rsid w:val="00F50810"/>
    <w:rsid w:val="00F508B8"/>
    <w:rsid w:val="00F50965"/>
    <w:rsid w:val="00F5182F"/>
    <w:rsid w:val="00F53FCC"/>
    <w:rsid w:val="00F545EE"/>
    <w:rsid w:val="00F54622"/>
    <w:rsid w:val="00F61CCF"/>
    <w:rsid w:val="00F62488"/>
    <w:rsid w:val="00F62A76"/>
    <w:rsid w:val="00F71145"/>
    <w:rsid w:val="00F72CB1"/>
    <w:rsid w:val="00F72E12"/>
    <w:rsid w:val="00F74253"/>
    <w:rsid w:val="00F7672D"/>
    <w:rsid w:val="00F76A8D"/>
    <w:rsid w:val="00F76D04"/>
    <w:rsid w:val="00F77B4F"/>
    <w:rsid w:val="00F8215E"/>
    <w:rsid w:val="00F824F5"/>
    <w:rsid w:val="00F84BA3"/>
    <w:rsid w:val="00F85616"/>
    <w:rsid w:val="00F85E41"/>
    <w:rsid w:val="00F86CDF"/>
    <w:rsid w:val="00F9044E"/>
    <w:rsid w:val="00F9081E"/>
    <w:rsid w:val="00F9374D"/>
    <w:rsid w:val="00F937D6"/>
    <w:rsid w:val="00F93D4B"/>
    <w:rsid w:val="00F947E4"/>
    <w:rsid w:val="00F95FBE"/>
    <w:rsid w:val="00F97750"/>
    <w:rsid w:val="00FA2769"/>
    <w:rsid w:val="00FA28E0"/>
    <w:rsid w:val="00FA2E8E"/>
    <w:rsid w:val="00FA3CE5"/>
    <w:rsid w:val="00FA4276"/>
    <w:rsid w:val="00FA4FF0"/>
    <w:rsid w:val="00FA6A10"/>
    <w:rsid w:val="00FB0712"/>
    <w:rsid w:val="00FB0C2F"/>
    <w:rsid w:val="00FB4E18"/>
    <w:rsid w:val="00FB54FF"/>
    <w:rsid w:val="00FB7033"/>
    <w:rsid w:val="00FC1C52"/>
    <w:rsid w:val="00FC29B9"/>
    <w:rsid w:val="00FC3B85"/>
    <w:rsid w:val="00FC4FB7"/>
    <w:rsid w:val="00FC534D"/>
    <w:rsid w:val="00FC53EE"/>
    <w:rsid w:val="00FC547A"/>
    <w:rsid w:val="00FC6FD3"/>
    <w:rsid w:val="00FC7BAD"/>
    <w:rsid w:val="00FD033E"/>
    <w:rsid w:val="00FD0454"/>
    <w:rsid w:val="00FD2F65"/>
    <w:rsid w:val="00FD3C3B"/>
    <w:rsid w:val="00FD4F5B"/>
    <w:rsid w:val="00FD5319"/>
    <w:rsid w:val="00FD57E6"/>
    <w:rsid w:val="00FD5FCA"/>
    <w:rsid w:val="00FD60ED"/>
    <w:rsid w:val="00FD6C1F"/>
    <w:rsid w:val="00FE0509"/>
    <w:rsid w:val="00FE061C"/>
    <w:rsid w:val="00FE12EA"/>
    <w:rsid w:val="00FE305C"/>
    <w:rsid w:val="00FF0301"/>
    <w:rsid w:val="00FF0639"/>
    <w:rsid w:val="00FF3860"/>
    <w:rsid w:val="00FF4039"/>
    <w:rsid w:val="00FF7768"/>
    <w:rsid w:val="014EBDE1"/>
    <w:rsid w:val="02572800"/>
    <w:rsid w:val="03810B99"/>
    <w:rsid w:val="03879BA3"/>
    <w:rsid w:val="03B31493"/>
    <w:rsid w:val="04D9F9DE"/>
    <w:rsid w:val="05518C88"/>
    <w:rsid w:val="06C52B15"/>
    <w:rsid w:val="0987749F"/>
    <w:rsid w:val="0CCCE461"/>
    <w:rsid w:val="0CD8BA5A"/>
    <w:rsid w:val="0E029DB4"/>
    <w:rsid w:val="0E1CFF03"/>
    <w:rsid w:val="12FC08C4"/>
    <w:rsid w:val="17C960E4"/>
    <w:rsid w:val="1B81A06B"/>
    <w:rsid w:val="1BAEE339"/>
    <w:rsid w:val="1CF02A67"/>
    <w:rsid w:val="1D382161"/>
    <w:rsid w:val="1D38C55D"/>
    <w:rsid w:val="1D8DF895"/>
    <w:rsid w:val="1FCC09BD"/>
    <w:rsid w:val="212F86A8"/>
    <w:rsid w:val="216EF6AB"/>
    <w:rsid w:val="23173059"/>
    <w:rsid w:val="24FCC85F"/>
    <w:rsid w:val="2594A199"/>
    <w:rsid w:val="27467029"/>
    <w:rsid w:val="284857F1"/>
    <w:rsid w:val="2F7952F9"/>
    <w:rsid w:val="301D0011"/>
    <w:rsid w:val="32166A2F"/>
    <w:rsid w:val="3270019D"/>
    <w:rsid w:val="35F9B0CB"/>
    <w:rsid w:val="376B4257"/>
    <w:rsid w:val="3826D623"/>
    <w:rsid w:val="38D5F3FC"/>
    <w:rsid w:val="39752FA9"/>
    <w:rsid w:val="397DDA6F"/>
    <w:rsid w:val="3B5EA36E"/>
    <w:rsid w:val="3C2EDA55"/>
    <w:rsid w:val="3CD00A4F"/>
    <w:rsid w:val="3D487358"/>
    <w:rsid w:val="3E4455AD"/>
    <w:rsid w:val="3E502336"/>
    <w:rsid w:val="3EF36FD6"/>
    <w:rsid w:val="416F27E2"/>
    <w:rsid w:val="41EC1F73"/>
    <w:rsid w:val="42A78CE8"/>
    <w:rsid w:val="42BD0CBE"/>
    <w:rsid w:val="43A83404"/>
    <w:rsid w:val="454A187D"/>
    <w:rsid w:val="4673AE40"/>
    <w:rsid w:val="49A62B07"/>
    <w:rsid w:val="503EB992"/>
    <w:rsid w:val="5131441E"/>
    <w:rsid w:val="5410D75D"/>
    <w:rsid w:val="54983A8D"/>
    <w:rsid w:val="55558F7D"/>
    <w:rsid w:val="5728E394"/>
    <w:rsid w:val="577B2AF0"/>
    <w:rsid w:val="5842E8A6"/>
    <w:rsid w:val="587099EA"/>
    <w:rsid w:val="5B40DF7F"/>
    <w:rsid w:val="5F0511F8"/>
    <w:rsid w:val="6110D806"/>
    <w:rsid w:val="64A70341"/>
    <w:rsid w:val="685FE504"/>
    <w:rsid w:val="73DF3276"/>
    <w:rsid w:val="76CDC466"/>
    <w:rsid w:val="78702F4F"/>
    <w:rsid w:val="7C0236FC"/>
    <w:rsid w:val="7D5EFD7F"/>
    <w:rsid w:val="7E6E13D8"/>
    <w:rsid w:val="7E8091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Figure cap,180-Table-Caption,Caption Char2,Caption Char Char Char,Caption Char Char1,fig and tbl,fighead2,Table Caption,fighead21,fighead22"/>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ind w:left="431" w:hanging="431"/>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F0609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Figure cap Char,180-Table-Caption Char,Caption Char2 Char,Caption Char Char Char Char,fighead2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F0609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Light" w:hAnsi="@Yu Gothic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F056C2"/>
    <w:pPr>
      <w:tabs>
        <w:tab w:val="right" w:leader="dot" w:pos="9617"/>
      </w:tabs>
      <w:spacing w:after="100"/>
    </w:pPr>
  </w:style>
  <w:style w:type="paragraph" w:styleId="TOC5">
    <w:name w:val="toc 5"/>
    <w:aliases w:val="Proposal"/>
    <w:basedOn w:val="Normal"/>
    <w:next w:val="Normal"/>
    <w:autoRedefine/>
    <w:uiPriority w:val="39"/>
    <w:unhideWhenUsed/>
    <w:rsid w:val="00825EA2"/>
    <w:pPr>
      <w:tabs>
        <w:tab w:val="right" w:leader="dot" w:pos="9617"/>
      </w:tabs>
      <w:spacing w:after="100"/>
      <w:ind w:left="36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paragraph" w:customStyle="1" w:styleId="B1">
    <w:name w:val="B1"/>
    <w:basedOn w:val="List"/>
    <w:link w:val="B1Char"/>
    <w:qFormat/>
    <w:rsid w:val="004A52BC"/>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rPr>
  </w:style>
  <w:style w:type="character" w:customStyle="1" w:styleId="B1Char">
    <w:name w:val="B1 Char"/>
    <w:link w:val="B1"/>
    <w:qFormat/>
    <w:rsid w:val="004A52BC"/>
    <w:rPr>
      <w:rFonts w:ascii="Times New Roman" w:eastAsia="Times New Roman" w:hAnsi="Times New Roman" w:cs="Times New Roman"/>
      <w:sz w:val="20"/>
      <w:szCs w:val="20"/>
      <w:lang w:val="en-GB"/>
    </w:rPr>
  </w:style>
  <w:style w:type="character" w:customStyle="1" w:styleId="eop">
    <w:name w:val="eop"/>
    <w:basedOn w:val="DefaultParagraphFont"/>
    <w:rsid w:val="004A52BC"/>
  </w:style>
  <w:style w:type="character" w:customStyle="1" w:styleId="normaltextrun">
    <w:name w:val="normaltextrun"/>
    <w:basedOn w:val="DefaultParagraphFont"/>
    <w:rsid w:val="004A52BC"/>
  </w:style>
  <w:style w:type="paragraph" w:customStyle="1" w:styleId="B2">
    <w:name w:val="B2"/>
    <w:basedOn w:val="List2"/>
    <w:link w:val="B2Char"/>
    <w:rsid w:val="004A52BC"/>
    <w:pPr>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rPr>
  </w:style>
  <w:style w:type="paragraph" w:customStyle="1" w:styleId="B3">
    <w:name w:val="B3"/>
    <w:basedOn w:val="List3"/>
    <w:link w:val="B3Char"/>
    <w:rsid w:val="004A52BC"/>
    <w:pPr>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rPr>
  </w:style>
  <w:style w:type="character" w:customStyle="1" w:styleId="B2Char">
    <w:name w:val="B2 Char"/>
    <w:link w:val="B2"/>
    <w:qFormat/>
    <w:rsid w:val="004A52BC"/>
    <w:rPr>
      <w:rFonts w:ascii="Times New Roman" w:eastAsia="Times New Roman" w:hAnsi="Times New Roman" w:cs="Times New Roman"/>
      <w:sz w:val="20"/>
      <w:szCs w:val="20"/>
      <w:lang w:val="en-GB"/>
    </w:rPr>
  </w:style>
  <w:style w:type="character" w:customStyle="1" w:styleId="B3Char">
    <w:name w:val="B3 Char"/>
    <w:link w:val="B3"/>
    <w:qFormat/>
    <w:locked/>
    <w:rsid w:val="004A52B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A52BC"/>
    <w:pPr>
      <w:ind w:left="283" w:hanging="283"/>
      <w:contextualSpacing/>
    </w:pPr>
  </w:style>
  <w:style w:type="paragraph" w:styleId="List2">
    <w:name w:val="List 2"/>
    <w:basedOn w:val="Normal"/>
    <w:uiPriority w:val="99"/>
    <w:semiHidden/>
    <w:unhideWhenUsed/>
    <w:rsid w:val="004A52BC"/>
    <w:pPr>
      <w:ind w:left="566" w:hanging="283"/>
      <w:contextualSpacing/>
    </w:pPr>
  </w:style>
  <w:style w:type="paragraph" w:styleId="List3">
    <w:name w:val="List 3"/>
    <w:basedOn w:val="Normal"/>
    <w:uiPriority w:val="99"/>
    <w:semiHidden/>
    <w:unhideWhenUsed/>
    <w:rsid w:val="004A52BC"/>
    <w:pPr>
      <w:ind w:left="849" w:hanging="283"/>
      <w:contextualSpacing/>
    </w:pPr>
  </w:style>
  <w:style w:type="paragraph" w:styleId="Revision">
    <w:name w:val="Revision"/>
    <w:hidden/>
    <w:uiPriority w:val="99"/>
    <w:semiHidden/>
    <w:rsid w:val="008756D3"/>
    <w:pPr>
      <w:spacing w:after="0" w:line="240" w:lineRule="auto"/>
    </w:pPr>
    <w:rPr>
      <w:rFonts w:ascii="Times New Roman" w:hAnsi="Times New Roman"/>
      <w:sz w:val="20"/>
    </w:rPr>
  </w:style>
  <w:style w:type="paragraph" w:customStyle="1" w:styleId="paragraph">
    <w:name w:val="paragraph"/>
    <w:basedOn w:val="Normal"/>
    <w:rsid w:val="0064279A"/>
    <w:pPr>
      <w:spacing w:before="100" w:beforeAutospacing="1" w:after="100" w:afterAutospacing="1" w:line="240" w:lineRule="auto"/>
      <w:jc w:val="left"/>
    </w:pPr>
    <w:rPr>
      <w:rFonts w:eastAsia="Times New Roman" w:cs="Times New Roman"/>
      <w:sz w:val="24"/>
      <w:szCs w:val="24"/>
    </w:rPr>
  </w:style>
  <w:style w:type="character" w:customStyle="1" w:styleId="ui-provider">
    <w:name w:val="ui-provider"/>
    <w:basedOn w:val="DefaultParagraphFont"/>
    <w:rsid w:val="00E802EC"/>
  </w:style>
  <w:style w:type="paragraph" w:styleId="NormalWeb">
    <w:name w:val="Normal (Web)"/>
    <w:basedOn w:val="Normal"/>
    <w:uiPriority w:val="99"/>
    <w:semiHidden/>
    <w:unhideWhenUsed/>
    <w:rsid w:val="00007FBD"/>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18092">
      <w:bodyDiv w:val="1"/>
      <w:marLeft w:val="0"/>
      <w:marRight w:val="0"/>
      <w:marTop w:val="0"/>
      <w:marBottom w:val="0"/>
      <w:divBdr>
        <w:top w:val="none" w:sz="0" w:space="0" w:color="auto"/>
        <w:left w:val="none" w:sz="0" w:space="0" w:color="auto"/>
        <w:bottom w:val="none" w:sz="0" w:space="0" w:color="auto"/>
        <w:right w:val="none" w:sz="0" w:space="0" w:color="auto"/>
      </w:divBdr>
    </w:div>
    <w:div w:id="217935644">
      <w:bodyDiv w:val="1"/>
      <w:marLeft w:val="0"/>
      <w:marRight w:val="0"/>
      <w:marTop w:val="0"/>
      <w:marBottom w:val="0"/>
      <w:divBdr>
        <w:top w:val="none" w:sz="0" w:space="0" w:color="auto"/>
        <w:left w:val="none" w:sz="0" w:space="0" w:color="auto"/>
        <w:bottom w:val="none" w:sz="0" w:space="0" w:color="auto"/>
        <w:right w:val="none" w:sz="0" w:space="0" w:color="auto"/>
      </w:divBdr>
    </w:div>
    <w:div w:id="548565737">
      <w:bodyDiv w:val="1"/>
      <w:marLeft w:val="0"/>
      <w:marRight w:val="0"/>
      <w:marTop w:val="0"/>
      <w:marBottom w:val="0"/>
      <w:divBdr>
        <w:top w:val="none" w:sz="0" w:space="0" w:color="auto"/>
        <w:left w:val="none" w:sz="0" w:space="0" w:color="auto"/>
        <w:bottom w:val="none" w:sz="0" w:space="0" w:color="auto"/>
        <w:right w:val="none" w:sz="0" w:space="0" w:color="auto"/>
      </w:divBdr>
    </w:div>
    <w:div w:id="609555791">
      <w:bodyDiv w:val="1"/>
      <w:marLeft w:val="0"/>
      <w:marRight w:val="0"/>
      <w:marTop w:val="0"/>
      <w:marBottom w:val="0"/>
      <w:divBdr>
        <w:top w:val="none" w:sz="0" w:space="0" w:color="auto"/>
        <w:left w:val="none" w:sz="0" w:space="0" w:color="auto"/>
        <w:bottom w:val="none" w:sz="0" w:space="0" w:color="auto"/>
        <w:right w:val="none" w:sz="0" w:space="0" w:color="auto"/>
      </w:divBdr>
    </w:div>
    <w:div w:id="636643589">
      <w:bodyDiv w:val="1"/>
      <w:marLeft w:val="0"/>
      <w:marRight w:val="0"/>
      <w:marTop w:val="0"/>
      <w:marBottom w:val="0"/>
      <w:divBdr>
        <w:top w:val="none" w:sz="0" w:space="0" w:color="auto"/>
        <w:left w:val="none" w:sz="0" w:space="0" w:color="auto"/>
        <w:bottom w:val="none" w:sz="0" w:space="0" w:color="auto"/>
        <w:right w:val="none" w:sz="0" w:space="0" w:color="auto"/>
      </w:divBdr>
    </w:div>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45167187">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917591976">
      <w:bodyDiv w:val="1"/>
      <w:marLeft w:val="0"/>
      <w:marRight w:val="0"/>
      <w:marTop w:val="0"/>
      <w:marBottom w:val="0"/>
      <w:divBdr>
        <w:top w:val="none" w:sz="0" w:space="0" w:color="auto"/>
        <w:left w:val="none" w:sz="0" w:space="0" w:color="auto"/>
        <w:bottom w:val="none" w:sz="0" w:space="0" w:color="auto"/>
        <w:right w:val="none" w:sz="0" w:space="0" w:color="auto"/>
      </w:divBdr>
    </w:div>
    <w:div w:id="938441776">
      <w:bodyDiv w:val="1"/>
      <w:marLeft w:val="0"/>
      <w:marRight w:val="0"/>
      <w:marTop w:val="0"/>
      <w:marBottom w:val="0"/>
      <w:divBdr>
        <w:top w:val="none" w:sz="0" w:space="0" w:color="auto"/>
        <w:left w:val="none" w:sz="0" w:space="0" w:color="auto"/>
        <w:bottom w:val="none" w:sz="0" w:space="0" w:color="auto"/>
        <w:right w:val="none" w:sz="0" w:space="0" w:color="auto"/>
      </w:divBdr>
    </w:div>
    <w:div w:id="990668900">
      <w:bodyDiv w:val="1"/>
      <w:marLeft w:val="0"/>
      <w:marRight w:val="0"/>
      <w:marTop w:val="0"/>
      <w:marBottom w:val="0"/>
      <w:divBdr>
        <w:top w:val="none" w:sz="0" w:space="0" w:color="auto"/>
        <w:left w:val="none" w:sz="0" w:space="0" w:color="auto"/>
        <w:bottom w:val="none" w:sz="0" w:space="0" w:color="auto"/>
        <w:right w:val="none" w:sz="0" w:space="0" w:color="auto"/>
      </w:divBdr>
    </w:div>
    <w:div w:id="1109546670">
      <w:bodyDiv w:val="1"/>
      <w:marLeft w:val="0"/>
      <w:marRight w:val="0"/>
      <w:marTop w:val="0"/>
      <w:marBottom w:val="0"/>
      <w:divBdr>
        <w:top w:val="none" w:sz="0" w:space="0" w:color="auto"/>
        <w:left w:val="none" w:sz="0" w:space="0" w:color="auto"/>
        <w:bottom w:val="none" w:sz="0" w:space="0" w:color="auto"/>
        <w:right w:val="none" w:sz="0" w:space="0" w:color="auto"/>
      </w:divBdr>
    </w:div>
    <w:div w:id="1121269549">
      <w:bodyDiv w:val="1"/>
      <w:marLeft w:val="0"/>
      <w:marRight w:val="0"/>
      <w:marTop w:val="0"/>
      <w:marBottom w:val="0"/>
      <w:divBdr>
        <w:top w:val="none" w:sz="0" w:space="0" w:color="auto"/>
        <w:left w:val="none" w:sz="0" w:space="0" w:color="auto"/>
        <w:bottom w:val="none" w:sz="0" w:space="0" w:color="auto"/>
        <w:right w:val="none" w:sz="0" w:space="0" w:color="auto"/>
      </w:divBdr>
    </w:div>
    <w:div w:id="1203862089">
      <w:bodyDiv w:val="1"/>
      <w:marLeft w:val="0"/>
      <w:marRight w:val="0"/>
      <w:marTop w:val="0"/>
      <w:marBottom w:val="0"/>
      <w:divBdr>
        <w:top w:val="none" w:sz="0" w:space="0" w:color="auto"/>
        <w:left w:val="none" w:sz="0" w:space="0" w:color="auto"/>
        <w:bottom w:val="none" w:sz="0" w:space="0" w:color="auto"/>
        <w:right w:val="none" w:sz="0" w:space="0" w:color="auto"/>
      </w:divBdr>
    </w:div>
    <w:div w:id="1293319958">
      <w:bodyDiv w:val="1"/>
      <w:marLeft w:val="0"/>
      <w:marRight w:val="0"/>
      <w:marTop w:val="0"/>
      <w:marBottom w:val="0"/>
      <w:divBdr>
        <w:top w:val="none" w:sz="0" w:space="0" w:color="auto"/>
        <w:left w:val="none" w:sz="0" w:space="0" w:color="auto"/>
        <w:bottom w:val="none" w:sz="0" w:space="0" w:color="auto"/>
        <w:right w:val="none" w:sz="0" w:space="0" w:color="auto"/>
      </w:divBdr>
    </w:div>
    <w:div w:id="1313563158">
      <w:bodyDiv w:val="1"/>
      <w:marLeft w:val="0"/>
      <w:marRight w:val="0"/>
      <w:marTop w:val="0"/>
      <w:marBottom w:val="0"/>
      <w:divBdr>
        <w:top w:val="none" w:sz="0" w:space="0" w:color="auto"/>
        <w:left w:val="none" w:sz="0" w:space="0" w:color="auto"/>
        <w:bottom w:val="none" w:sz="0" w:space="0" w:color="auto"/>
        <w:right w:val="none" w:sz="0" w:space="0" w:color="auto"/>
      </w:divBdr>
    </w:div>
    <w:div w:id="1379284844">
      <w:bodyDiv w:val="1"/>
      <w:marLeft w:val="0"/>
      <w:marRight w:val="0"/>
      <w:marTop w:val="0"/>
      <w:marBottom w:val="0"/>
      <w:divBdr>
        <w:top w:val="none" w:sz="0" w:space="0" w:color="auto"/>
        <w:left w:val="none" w:sz="0" w:space="0" w:color="auto"/>
        <w:bottom w:val="none" w:sz="0" w:space="0" w:color="auto"/>
        <w:right w:val="none" w:sz="0" w:space="0" w:color="auto"/>
      </w:divBdr>
      <w:divsChild>
        <w:div w:id="1084960163">
          <w:marLeft w:val="0"/>
          <w:marRight w:val="0"/>
          <w:marTop w:val="0"/>
          <w:marBottom w:val="0"/>
          <w:divBdr>
            <w:top w:val="none" w:sz="0" w:space="0" w:color="auto"/>
            <w:left w:val="none" w:sz="0" w:space="0" w:color="auto"/>
            <w:bottom w:val="none" w:sz="0" w:space="0" w:color="auto"/>
            <w:right w:val="none" w:sz="0" w:space="0" w:color="auto"/>
          </w:divBdr>
        </w:div>
      </w:divsChild>
    </w:div>
    <w:div w:id="1482307750">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627010002">
      <w:bodyDiv w:val="1"/>
      <w:marLeft w:val="0"/>
      <w:marRight w:val="0"/>
      <w:marTop w:val="0"/>
      <w:marBottom w:val="0"/>
      <w:divBdr>
        <w:top w:val="none" w:sz="0" w:space="0" w:color="auto"/>
        <w:left w:val="none" w:sz="0" w:space="0" w:color="auto"/>
        <w:bottom w:val="none" w:sz="0" w:space="0" w:color="auto"/>
        <w:right w:val="none" w:sz="0" w:space="0" w:color="auto"/>
      </w:divBdr>
      <w:divsChild>
        <w:div w:id="510950398">
          <w:marLeft w:val="0"/>
          <w:marRight w:val="0"/>
          <w:marTop w:val="0"/>
          <w:marBottom w:val="0"/>
          <w:divBdr>
            <w:top w:val="none" w:sz="0" w:space="0" w:color="auto"/>
            <w:left w:val="none" w:sz="0" w:space="0" w:color="auto"/>
            <w:bottom w:val="none" w:sz="0" w:space="0" w:color="auto"/>
            <w:right w:val="none" w:sz="0" w:space="0" w:color="auto"/>
          </w:divBdr>
        </w:div>
      </w:divsChild>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717578854">
      <w:bodyDiv w:val="1"/>
      <w:marLeft w:val="0"/>
      <w:marRight w:val="0"/>
      <w:marTop w:val="0"/>
      <w:marBottom w:val="0"/>
      <w:divBdr>
        <w:top w:val="none" w:sz="0" w:space="0" w:color="auto"/>
        <w:left w:val="none" w:sz="0" w:space="0" w:color="auto"/>
        <w:bottom w:val="none" w:sz="0" w:space="0" w:color="auto"/>
        <w:right w:val="none" w:sz="0" w:space="0" w:color="auto"/>
      </w:divBdr>
    </w:div>
    <w:div w:id="1749379557">
      <w:bodyDiv w:val="1"/>
      <w:marLeft w:val="0"/>
      <w:marRight w:val="0"/>
      <w:marTop w:val="0"/>
      <w:marBottom w:val="0"/>
      <w:divBdr>
        <w:top w:val="none" w:sz="0" w:space="0" w:color="auto"/>
        <w:left w:val="none" w:sz="0" w:space="0" w:color="auto"/>
        <w:bottom w:val="none" w:sz="0" w:space="0" w:color="auto"/>
        <w:right w:val="none" w:sz="0" w:space="0" w:color="auto"/>
      </w:divBdr>
      <w:divsChild>
        <w:div w:id="852954396">
          <w:marLeft w:val="0"/>
          <w:marRight w:val="0"/>
          <w:marTop w:val="0"/>
          <w:marBottom w:val="0"/>
          <w:divBdr>
            <w:top w:val="none" w:sz="0" w:space="0" w:color="auto"/>
            <w:left w:val="none" w:sz="0" w:space="0" w:color="auto"/>
            <w:bottom w:val="none" w:sz="0" w:space="0" w:color="auto"/>
            <w:right w:val="none" w:sz="0" w:space="0" w:color="auto"/>
          </w:divBdr>
        </w:div>
      </w:divsChild>
    </w:div>
    <w:div w:id="1802452361">
      <w:bodyDiv w:val="1"/>
      <w:marLeft w:val="0"/>
      <w:marRight w:val="0"/>
      <w:marTop w:val="0"/>
      <w:marBottom w:val="0"/>
      <w:divBdr>
        <w:top w:val="none" w:sz="0" w:space="0" w:color="auto"/>
        <w:left w:val="none" w:sz="0" w:space="0" w:color="auto"/>
        <w:bottom w:val="none" w:sz="0" w:space="0" w:color="auto"/>
        <w:right w:val="none" w:sz="0" w:space="0" w:color="auto"/>
      </w:divBdr>
    </w:div>
    <w:div w:id="1852182730">
      <w:bodyDiv w:val="1"/>
      <w:marLeft w:val="0"/>
      <w:marRight w:val="0"/>
      <w:marTop w:val="0"/>
      <w:marBottom w:val="0"/>
      <w:divBdr>
        <w:top w:val="none" w:sz="0" w:space="0" w:color="auto"/>
        <w:left w:val="none" w:sz="0" w:space="0" w:color="auto"/>
        <w:bottom w:val="none" w:sz="0" w:space="0" w:color="auto"/>
        <w:right w:val="none" w:sz="0" w:space="0" w:color="auto"/>
      </w:divBdr>
    </w:div>
    <w:div w:id="1864513218">
      <w:bodyDiv w:val="1"/>
      <w:marLeft w:val="0"/>
      <w:marRight w:val="0"/>
      <w:marTop w:val="0"/>
      <w:marBottom w:val="0"/>
      <w:divBdr>
        <w:top w:val="none" w:sz="0" w:space="0" w:color="auto"/>
        <w:left w:val="none" w:sz="0" w:space="0" w:color="auto"/>
        <w:bottom w:val="none" w:sz="0" w:space="0" w:color="auto"/>
        <w:right w:val="none" w:sz="0" w:space="0" w:color="auto"/>
      </w:divBdr>
    </w:div>
    <w:div w:id="1896157453">
      <w:bodyDiv w:val="1"/>
      <w:marLeft w:val="0"/>
      <w:marRight w:val="0"/>
      <w:marTop w:val="0"/>
      <w:marBottom w:val="0"/>
      <w:divBdr>
        <w:top w:val="none" w:sz="0" w:space="0" w:color="auto"/>
        <w:left w:val="none" w:sz="0" w:space="0" w:color="auto"/>
        <w:bottom w:val="none" w:sz="0" w:space="0" w:color="auto"/>
        <w:right w:val="none" w:sz="0" w:space="0" w:color="auto"/>
      </w:divBdr>
    </w:div>
    <w:div w:id="193104227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203171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5AIRPNAIUNRU-1328258698-26379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https://nokia.sharepoint.com/sites/c5g/5gradio/_layouts/15/DocIdRedir.aspx?ID=5AIRPNAIUNRU-1328258698-26379</Url>
      <Description>5AIRPNAIUNRU-1328258698-26379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2.xml><?xml version="1.0" encoding="utf-8"?>
<ds:datastoreItem xmlns:ds="http://schemas.openxmlformats.org/officeDocument/2006/customXml" ds:itemID="{5874D970-28F3-43CB-91AF-3531ED6DD583}">
  <ds:schemaRefs>
    <ds:schemaRef ds:uri="http://schemas.openxmlformats.org/officeDocument/2006/bibliography"/>
  </ds:schemaRefs>
</ds:datastoreItem>
</file>

<file path=customXml/itemProps3.xml><?xml version="1.0" encoding="utf-8"?>
<ds:datastoreItem xmlns:ds="http://schemas.openxmlformats.org/officeDocument/2006/customXml" ds:itemID="{C9D5CDCB-E0D8-467B-8A42-91C1145E2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5.xml><?xml version="1.0" encoding="utf-8"?>
<ds:datastoreItem xmlns:ds="http://schemas.openxmlformats.org/officeDocument/2006/customXml" ds:itemID="{0DF2934E-53BB-4EF8-86E8-766CA5A5BD69}">
  <ds:schemaRefs>
    <ds:schemaRef ds:uri="http://schemas.microsoft.com/sharepoint/events"/>
  </ds:schemaRefs>
</ds:datastoreItem>
</file>

<file path=customXml/itemProps6.xml><?xml version="1.0" encoding="utf-8"?>
<ds:datastoreItem xmlns:ds="http://schemas.openxmlformats.org/officeDocument/2006/customXml" ds:itemID="{D349F102-2FC8-4876-8188-D74D9857661D}">
  <ds:schemaRefs>
    <ds:schemaRef ds:uri="http://schemas.microsoft.com/office/2006/metadata/properties"/>
    <ds:schemaRef ds:uri="http://purl.org/dc/dcmitype/"/>
    <ds:schemaRef ds:uri="http://www.w3.org/XML/1998/namespace"/>
    <ds:schemaRef ds:uri="http://purl.org/dc/elements/1.1/"/>
    <ds:schemaRef ds:uri="http://schemas.openxmlformats.org/package/2006/metadata/core-properties"/>
    <ds:schemaRef ds:uri="http://purl.org/dc/terms/"/>
    <ds:schemaRef ds:uri="http://schemas.microsoft.com/office/2006/documentManagement/types"/>
    <ds:schemaRef ds:uri="3b34c8f0-1ef5-4d1e-bb66-517ce7fe7356"/>
    <ds:schemaRef ds:uri="http://schemas.microsoft.com/office/infopath/2007/PartnerControls"/>
    <ds:schemaRef ds:uri="0b6aed8e-0313-4d17-80ff-d0e5da4931c5"/>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1915</Words>
  <Characters>10921</Characters>
  <Application>Microsoft Office Word</Application>
  <DocSecurity>0</DocSecurity>
  <Lines>91</Lines>
  <Paragraphs>25</Paragraphs>
  <ScaleCrop>false</ScaleCrop>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2023-09-27T17:54:00Z</dcterms:created>
  <dcterms:modified xsi:type="dcterms:W3CDTF">2023-09-27T17:54:00Z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2c0b712e-b646-4c9f-a9db-bbc1343d18de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Order">
    <vt:r8>2269100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Documents/RAN4 107 Incheon/Rel-18/NR_FR2_multiRx_DL/Contributions/R4-23xxxxx On MultiRx TCI state switching requirements.docx</vt:lpwstr>
  </property>
</Properties>
</file>